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DAA03" w14:textId="08C9B38A" w:rsidR="00BB0CAC" w:rsidRPr="002323CD" w:rsidRDefault="00BB0CAC" w:rsidP="00861690">
      <w:pPr>
        <w:pStyle w:val="Heading1"/>
        <w:spacing w:before="0"/>
      </w:pPr>
      <w:bookmarkStart w:id="0" w:name="_Toc235434346"/>
      <w:bookmarkStart w:id="1" w:name="OLE_LINK1"/>
      <w:bookmarkStart w:id="2" w:name="OLE_LINK2"/>
      <w:bookmarkStart w:id="3" w:name="_Ref66248443"/>
      <w:bookmarkStart w:id="4" w:name="_Ref88985426"/>
      <w:bookmarkStart w:id="5" w:name="_Toc89052824"/>
      <w:bookmarkStart w:id="6" w:name="_GoBack"/>
      <w:r w:rsidRPr="002323CD">
        <w:t>201</w:t>
      </w:r>
      <w:r w:rsidR="00222DB5" w:rsidRPr="002323CD">
        <w:t>8</w:t>
      </w:r>
      <w:r w:rsidRPr="002323CD">
        <w:t xml:space="preserve"> Tax Ex</w:t>
      </w:r>
      <w:r w:rsidRPr="002323CD">
        <w:rPr>
          <w:rStyle w:val="Heading1Char"/>
          <w:b/>
          <w:bCs/>
        </w:rPr>
        <w:t>pendit</w:t>
      </w:r>
      <w:r w:rsidRPr="002323CD">
        <w:t>ur</w:t>
      </w:r>
      <w:bookmarkEnd w:id="0"/>
      <w:r w:rsidRPr="002323CD">
        <w:t xml:space="preserve">e </w:t>
      </w:r>
      <w:r w:rsidRPr="002323CD">
        <w:rPr>
          <w:rStyle w:val="Emphasis"/>
          <w:i w:val="0"/>
          <w:iCs w:val="0"/>
        </w:rPr>
        <w:t>Statement</w:t>
      </w:r>
      <w:bookmarkEnd w:id="6"/>
    </w:p>
    <w:p w14:paraId="715FF3BA" w14:textId="470C0C07" w:rsidR="00BB0CAC" w:rsidRDefault="00F514F6" w:rsidP="00BB0CAC">
      <w:pPr>
        <w:spacing w:after="240"/>
        <w:rPr>
          <w:b/>
          <w:lang w:val="en-AU"/>
        </w:rPr>
      </w:pPr>
      <w:r>
        <w:rPr>
          <w:b/>
          <w:lang w:val="en-AU"/>
        </w:rPr>
        <w:t>17 Ma</w:t>
      </w:r>
      <w:r w:rsidR="00104EE9">
        <w:rPr>
          <w:b/>
          <w:lang w:val="en-AU"/>
        </w:rPr>
        <w:t>y 2018</w:t>
      </w:r>
    </w:p>
    <w:p w14:paraId="09162115" w14:textId="12A5DF60" w:rsidR="00BB0CAC" w:rsidRPr="00FA1438" w:rsidRDefault="00BB0CAC" w:rsidP="00BB0CAC">
      <w:pPr>
        <w:autoSpaceDE w:val="0"/>
        <w:autoSpaceDN w:val="0"/>
        <w:adjustRightInd w:val="0"/>
        <w:spacing w:before="0" w:after="0" w:line="240" w:lineRule="auto"/>
        <w:jc w:val="left"/>
        <w:rPr>
          <w:rFonts w:cs="Arial"/>
          <w:sz w:val="24"/>
          <w:lang w:eastAsia="en-NZ"/>
        </w:rPr>
      </w:pPr>
      <w:r w:rsidRPr="00FA1438">
        <w:rPr>
          <w:rFonts w:cs="Arial"/>
          <w:szCs w:val="19"/>
          <w:lang w:eastAsia="en-NZ"/>
        </w:rPr>
        <w:t xml:space="preserve">ISBN: </w:t>
      </w:r>
      <w:r w:rsidR="0088541B" w:rsidRPr="00FA1438">
        <w:rPr>
          <w:rFonts w:eastAsia="Arial"/>
          <w:color w:val="000000"/>
        </w:rPr>
        <w:t>978-1-98-855639-0</w:t>
      </w:r>
    </w:p>
    <w:p w14:paraId="30FFD582" w14:textId="17D4C672" w:rsidR="00BB0CAC" w:rsidRPr="00FA1438" w:rsidRDefault="00BB0CAC" w:rsidP="0088541B">
      <w:pPr>
        <w:jc w:val="left"/>
        <w:rPr>
          <w:rFonts w:cs="Arial"/>
          <w:color w:val="0083AC"/>
          <w:lang w:val="en-AU"/>
        </w:rPr>
      </w:pPr>
      <w:r w:rsidRPr="00FA1438">
        <w:rPr>
          <w:rFonts w:cs="Arial"/>
          <w:lang w:eastAsia="en-NZ"/>
        </w:rPr>
        <w:t xml:space="preserve">URL at </w:t>
      </w:r>
      <w:r w:rsidR="00104EE9" w:rsidRPr="00FA1438">
        <w:rPr>
          <w:rFonts w:cs="Arial"/>
          <w:lang w:eastAsia="en-NZ"/>
        </w:rPr>
        <w:t>17 May 2018</w:t>
      </w:r>
      <w:r w:rsidRPr="00FA1438">
        <w:rPr>
          <w:rFonts w:cs="Arial"/>
          <w:lang w:eastAsia="en-NZ"/>
        </w:rPr>
        <w:t xml:space="preserve">: </w:t>
      </w:r>
      <w:r w:rsidR="0088541B" w:rsidRPr="00FA1438">
        <w:rPr>
          <w:rFonts w:cs="Arial"/>
          <w:color w:val="0083AC"/>
          <w:lang w:eastAsia="en-NZ"/>
        </w:rPr>
        <w:t>https://treasury.govt.nz/publications/tax-expenditure/2018-tax-expenditure-statement</w:t>
      </w:r>
    </w:p>
    <w:bookmarkEnd w:id="1"/>
    <w:bookmarkEnd w:id="2"/>
    <w:p w14:paraId="61AE9C83" w14:textId="77777777" w:rsidR="00BB0CAC" w:rsidRPr="007F3E00" w:rsidRDefault="00BB0CAC" w:rsidP="00BB0CAC">
      <w:pPr>
        <w:keepNext/>
        <w:tabs>
          <w:tab w:val="left" w:pos="3450"/>
        </w:tabs>
        <w:spacing w:before="240" w:after="240"/>
        <w:jc w:val="left"/>
        <w:outlineLvl w:val="0"/>
      </w:pPr>
    </w:p>
    <w:p w14:paraId="02B747F4" w14:textId="77777777" w:rsidR="00BB0CAC" w:rsidRPr="00D66F4C" w:rsidRDefault="00BB0CAC" w:rsidP="002323CD">
      <w:pPr>
        <w:pStyle w:val="Heading2"/>
      </w:pPr>
      <w:r w:rsidRPr="00D66F4C">
        <w:t>Introduction</w:t>
      </w:r>
    </w:p>
    <w:p w14:paraId="53E82DEE" w14:textId="671FEFAE" w:rsidR="00DC59F2" w:rsidRDefault="00BB0CAC" w:rsidP="00861690">
      <w:pPr>
        <w:jc w:val="left"/>
      </w:pPr>
      <w:bookmarkStart w:id="7" w:name="_Toc478201982"/>
      <w:bookmarkStart w:id="8" w:name="_Toc222123679"/>
      <w:r>
        <w:t>The purpose of this statement is to provide additional transparency around policy-motivated ‘expenditures’ made through the tax system. Tax expenditures take the form of an exemption, allowance, preferential tax rate, deferral or offset that reduce a tax obligation to achi</w:t>
      </w:r>
      <w:r w:rsidR="00DC59F2">
        <w:t>eve a specific policy objective.</w:t>
      </w:r>
      <w:r w:rsidR="00781F76">
        <w:t xml:space="preserve"> The concept recognises that the result is similar whether a government chooses to spend directly on or forego revenue from certain individuals, groups or activities.</w:t>
      </w:r>
    </w:p>
    <w:p w14:paraId="34303CCB" w14:textId="0D36EA31" w:rsidR="00BB0CAC" w:rsidRDefault="00BB0CAC" w:rsidP="00861690">
      <w:pPr>
        <w:jc w:val="left"/>
      </w:pPr>
      <w:r>
        <w:t xml:space="preserve">This voluntary disclosure improves our transparency arrangements by bringing New Zealand’s financial reporting closer to OECD best practice standards. This statement is not intended to be a statement of policy effectiveness or desirability. </w:t>
      </w:r>
    </w:p>
    <w:p w14:paraId="3C81AA2F" w14:textId="1C3E59FF" w:rsidR="006C1D9F" w:rsidRDefault="006C1D9F" w:rsidP="00861690">
      <w:pPr>
        <w:jc w:val="left"/>
      </w:pPr>
      <w:r>
        <w:t>All expenditur</w:t>
      </w:r>
      <w:r w:rsidR="003759C3">
        <w:t>es recorded in this s</w:t>
      </w:r>
      <w:r>
        <w:t xml:space="preserve">tatement include a </w:t>
      </w:r>
      <w:r w:rsidR="003324A1">
        <w:t>short description</w:t>
      </w:r>
      <w:r w:rsidR="00222DB5">
        <w:t>. Expenditures in Tables 3 and 5 also include a</w:t>
      </w:r>
      <w:r>
        <w:t xml:space="preserve"> policy rationale, as well as </w:t>
      </w:r>
      <w:r w:rsidR="002E077D">
        <w:t xml:space="preserve">a </w:t>
      </w:r>
      <w:r>
        <w:t xml:space="preserve">classification by type (social, business or other) and impact (historic, timing or permanent). </w:t>
      </w:r>
    </w:p>
    <w:p w14:paraId="3E0E6DE7" w14:textId="47A768FB" w:rsidR="006C1D9F" w:rsidRDefault="00A21E06" w:rsidP="00861690">
      <w:pPr>
        <w:jc w:val="left"/>
      </w:pPr>
      <w:r>
        <w:t>The fiscal cost of a</w:t>
      </w:r>
      <w:r w:rsidR="006C1D9F">
        <w:t xml:space="preserve"> small sub-section of expenditures with readily accessible data i</w:t>
      </w:r>
      <w:r w:rsidR="008E4DD6">
        <w:t>s quantified in Table 2 of the s</w:t>
      </w:r>
      <w:r w:rsidR="006C1D9F">
        <w:t xml:space="preserve">tatement. </w:t>
      </w:r>
      <w:r w:rsidR="001E22F7" w:rsidRPr="000C31BA">
        <w:t>The government does not collect data on all tax expenditures as the compliance and administration costs of collecting additional data exceed the value that data might provide.</w:t>
      </w:r>
    </w:p>
    <w:p w14:paraId="5C638880" w14:textId="77777777" w:rsidR="006C1D9F" w:rsidRDefault="006C1D9F" w:rsidP="00DC59F2"/>
    <w:p w14:paraId="3998FFC1" w14:textId="77777777" w:rsidR="00BB0CAC" w:rsidRPr="00D66F4C" w:rsidRDefault="00BB0CAC" w:rsidP="002323CD">
      <w:pPr>
        <w:pStyle w:val="Heading2"/>
      </w:pPr>
      <w:r w:rsidRPr="00D66F4C">
        <w:t>Changes from Previous Statements</w:t>
      </w:r>
    </w:p>
    <w:p w14:paraId="010E60C4" w14:textId="6BF8D44A" w:rsidR="00123038" w:rsidRDefault="00BB0CAC" w:rsidP="00861690">
      <w:pPr>
        <w:spacing w:after="240"/>
        <w:jc w:val="left"/>
        <w:rPr>
          <w:rFonts w:cs="Arial"/>
          <w:szCs w:val="22"/>
          <w:highlight w:val="yellow"/>
        </w:rPr>
      </w:pPr>
      <w:r w:rsidRPr="00123038">
        <w:rPr>
          <w:rFonts w:cs="Arial"/>
          <w:szCs w:val="22"/>
        </w:rPr>
        <w:t>The 201</w:t>
      </w:r>
      <w:r w:rsidR="00123038" w:rsidRPr="00123038">
        <w:rPr>
          <w:rFonts w:cs="Arial"/>
          <w:szCs w:val="22"/>
        </w:rPr>
        <w:t>8</w:t>
      </w:r>
      <w:r w:rsidRPr="00123038">
        <w:rPr>
          <w:rFonts w:cs="Arial"/>
          <w:szCs w:val="22"/>
        </w:rPr>
        <w:t xml:space="preserve"> Tax Expenditure Statement is very similar to last year’s statement. As detailed in Table </w:t>
      </w:r>
      <w:r w:rsidR="000C5F94">
        <w:rPr>
          <w:rFonts w:cs="Arial"/>
          <w:szCs w:val="22"/>
        </w:rPr>
        <w:t>6</w:t>
      </w:r>
      <w:r w:rsidRPr="00123038">
        <w:rPr>
          <w:rFonts w:cs="Arial"/>
          <w:szCs w:val="22"/>
        </w:rPr>
        <w:t>,</w:t>
      </w:r>
      <w:r w:rsidR="00123038" w:rsidRPr="00123038">
        <w:rPr>
          <w:rFonts w:cs="Arial"/>
          <w:szCs w:val="22"/>
        </w:rPr>
        <w:t xml:space="preserve"> </w:t>
      </w:r>
      <w:r w:rsidR="00123038" w:rsidRPr="000C5F94">
        <w:rPr>
          <w:rFonts w:cs="Arial"/>
          <w:szCs w:val="22"/>
        </w:rPr>
        <w:t xml:space="preserve">two tax expenditures </w:t>
      </w:r>
      <w:r w:rsidR="003759C3">
        <w:rPr>
          <w:rFonts w:cs="Arial"/>
          <w:szCs w:val="22"/>
        </w:rPr>
        <w:t>have been added to this year’s s</w:t>
      </w:r>
      <w:r w:rsidR="00123038" w:rsidRPr="000C5F94">
        <w:rPr>
          <w:rFonts w:cs="Arial"/>
          <w:szCs w:val="22"/>
        </w:rPr>
        <w:t>tatement.</w:t>
      </w:r>
      <w:r w:rsidRPr="000C5F94">
        <w:rPr>
          <w:rFonts w:cs="Arial"/>
          <w:szCs w:val="22"/>
        </w:rPr>
        <w:t xml:space="preserve"> </w:t>
      </w:r>
      <w:r w:rsidR="000C5F94">
        <w:rPr>
          <w:rFonts w:cs="Arial"/>
          <w:szCs w:val="22"/>
        </w:rPr>
        <w:t>One e</w:t>
      </w:r>
      <w:r w:rsidR="000C5F94" w:rsidRPr="000C5F94">
        <w:rPr>
          <w:rFonts w:cs="Arial"/>
          <w:szCs w:val="22"/>
        </w:rPr>
        <w:t>xpenditure was repealed part-way through the year, and wi</w:t>
      </w:r>
      <w:r w:rsidR="003759C3">
        <w:rPr>
          <w:rFonts w:cs="Arial"/>
          <w:szCs w:val="22"/>
        </w:rPr>
        <w:t>ll be removed from next year’s s</w:t>
      </w:r>
      <w:r w:rsidR="000C5F94" w:rsidRPr="000C5F94">
        <w:rPr>
          <w:rFonts w:cs="Arial"/>
          <w:szCs w:val="22"/>
        </w:rPr>
        <w:t>tatement.</w:t>
      </w:r>
    </w:p>
    <w:p w14:paraId="1872A7AC" w14:textId="0779325B" w:rsidR="00BB0CAC" w:rsidRPr="00990738" w:rsidRDefault="00BB0CAC" w:rsidP="00861690">
      <w:pPr>
        <w:jc w:val="left"/>
        <w:rPr>
          <w:rFonts w:cs="Arial"/>
          <w:szCs w:val="22"/>
        </w:rPr>
      </w:pPr>
      <w:r w:rsidRPr="00123038">
        <w:rPr>
          <w:rFonts w:cs="Arial"/>
          <w:szCs w:val="22"/>
        </w:rPr>
        <w:t xml:space="preserve">There is no change to the reporting of quantified changes in Table 2. A brief explanation of how they are calculated is provided in the </w:t>
      </w:r>
      <w:r w:rsidRPr="00123038">
        <w:rPr>
          <w:rFonts w:cs="Arial"/>
          <w:i/>
          <w:szCs w:val="22"/>
        </w:rPr>
        <w:t>Quantification Methods</w:t>
      </w:r>
      <w:r w:rsidR="000C5F94">
        <w:rPr>
          <w:rFonts w:cs="Arial"/>
          <w:szCs w:val="22"/>
        </w:rPr>
        <w:t xml:space="preserve"> section on page 1</w:t>
      </w:r>
      <w:r w:rsidR="00845FE9">
        <w:rPr>
          <w:rFonts w:cs="Arial"/>
          <w:szCs w:val="22"/>
        </w:rPr>
        <w:t>6</w:t>
      </w:r>
      <w:r w:rsidRPr="00123038">
        <w:rPr>
          <w:rFonts w:cs="Arial"/>
          <w:szCs w:val="22"/>
        </w:rPr>
        <w:t>.</w:t>
      </w:r>
      <w:r w:rsidRPr="00990738">
        <w:rPr>
          <w:rFonts w:cs="Arial"/>
          <w:szCs w:val="22"/>
        </w:rPr>
        <w:t xml:space="preserve"> </w:t>
      </w:r>
    </w:p>
    <w:p w14:paraId="75DBA83D" w14:textId="77777777" w:rsidR="00861690" w:rsidRDefault="00861690">
      <w:pPr>
        <w:spacing w:before="0" w:after="160" w:line="259" w:lineRule="auto"/>
        <w:jc w:val="left"/>
        <w:rPr>
          <w:rFonts w:cs="Arial"/>
          <w:b/>
          <w:bCs/>
          <w:color w:val="0083AC"/>
          <w:w w:val="90"/>
          <w:sz w:val="32"/>
          <w:szCs w:val="32"/>
          <w:lang w:val="en-AU"/>
        </w:rPr>
      </w:pPr>
      <w:r>
        <w:rPr>
          <w:w w:val="90"/>
        </w:rPr>
        <w:br w:type="page"/>
      </w:r>
    </w:p>
    <w:p w14:paraId="01973347" w14:textId="13531865" w:rsidR="00BB0CAC" w:rsidRPr="00861690" w:rsidRDefault="00BB0CAC" w:rsidP="00861690">
      <w:pPr>
        <w:pStyle w:val="Heading2"/>
      </w:pPr>
      <w:r w:rsidRPr="00861690">
        <w:lastRenderedPageBreak/>
        <w:t>What is a Tax Expenditure?</w:t>
      </w:r>
    </w:p>
    <w:p w14:paraId="2096CA57" w14:textId="77777777" w:rsidR="00BB0CAC" w:rsidRDefault="00BB0CAC" w:rsidP="00F67768">
      <w:pPr>
        <w:spacing w:after="240"/>
        <w:jc w:val="left"/>
      </w:pPr>
      <w:r>
        <w:t xml:space="preserve">Governments can spend in a variety of direct and indirect ways. International public sector accounting standards </w:t>
      </w:r>
      <w:r w:rsidRPr="00D1205D">
        <w:t>(IPSAS 23</w:t>
      </w:r>
      <w:r>
        <w:t xml:space="preserve">) divide spending into three different categories: direct spending; spending through the tax system; and tax expenditures. </w:t>
      </w:r>
    </w:p>
    <w:p w14:paraId="53DD3124" w14:textId="77777777" w:rsidR="00BB0CAC" w:rsidRPr="00D66F4C" w:rsidRDefault="00BB0CAC" w:rsidP="002323CD">
      <w:pPr>
        <w:pStyle w:val="Heading3"/>
      </w:pPr>
      <w:r w:rsidRPr="00D66F4C">
        <w:t>Table 1: Classification of Crown spending under public sector accounting standards</w:t>
      </w:r>
    </w:p>
    <w:tbl>
      <w:tblPr>
        <w:tblW w:w="0" w:type="auto"/>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1626"/>
        <w:gridCol w:w="3494"/>
        <w:gridCol w:w="3385"/>
      </w:tblGrid>
      <w:tr w:rsidR="00BB0CAC" w14:paraId="234C2DD8" w14:textId="77777777" w:rsidTr="00861690">
        <w:tc>
          <w:tcPr>
            <w:tcW w:w="1626" w:type="dxa"/>
            <w:shd w:val="clear" w:color="auto" w:fill="auto"/>
          </w:tcPr>
          <w:p w14:paraId="67B306A2" w14:textId="77777777" w:rsidR="00BB0CAC" w:rsidRPr="00255A36" w:rsidRDefault="00BB0CAC" w:rsidP="000676D8">
            <w:pPr>
              <w:tabs>
                <w:tab w:val="right" w:pos="8505"/>
              </w:tabs>
              <w:spacing w:before="60" w:after="60" w:line="200" w:lineRule="atLeast"/>
              <w:rPr>
                <w:sz w:val="18"/>
                <w:szCs w:val="18"/>
                <w:lang w:eastAsia="en-NZ"/>
              </w:rPr>
            </w:pPr>
          </w:p>
        </w:tc>
        <w:tc>
          <w:tcPr>
            <w:tcW w:w="3494" w:type="dxa"/>
            <w:shd w:val="clear" w:color="auto" w:fill="auto"/>
            <w:vAlign w:val="center"/>
          </w:tcPr>
          <w:p w14:paraId="5A126132" w14:textId="77777777" w:rsidR="00BB0CAC" w:rsidRPr="002323CD" w:rsidRDefault="00BB0CAC" w:rsidP="000676D8">
            <w:pPr>
              <w:pStyle w:val="TableHeading"/>
            </w:pPr>
            <w:r w:rsidRPr="002323CD">
              <w:t>Definition</w:t>
            </w:r>
          </w:p>
        </w:tc>
        <w:tc>
          <w:tcPr>
            <w:tcW w:w="3385" w:type="dxa"/>
            <w:shd w:val="clear" w:color="auto" w:fill="auto"/>
            <w:vAlign w:val="center"/>
          </w:tcPr>
          <w:p w14:paraId="0E27AE08" w14:textId="77777777" w:rsidR="00BB0CAC" w:rsidRPr="002323CD" w:rsidRDefault="00BB0CAC" w:rsidP="000676D8">
            <w:pPr>
              <w:pStyle w:val="TableHeading"/>
            </w:pPr>
            <w:r w:rsidRPr="002323CD">
              <w:t>Reporting</w:t>
            </w:r>
          </w:p>
        </w:tc>
      </w:tr>
      <w:tr w:rsidR="00BB0CAC" w14:paraId="0686EDAF" w14:textId="77777777" w:rsidTr="00861690">
        <w:tc>
          <w:tcPr>
            <w:tcW w:w="1626" w:type="dxa"/>
          </w:tcPr>
          <w:p w14:paraId="3C876F24" w14:textId="77777777" w:rsidR="00BB0CAC" w:rsidRPr="00A778B6" w:rsidRDefault="00BB0CAC" w:rsidP="000676D8">
            <w:pPr>
              <w:pStyle w:val="TableText"/>
              <w:rPr>
                <w:rStyle w:val="Strong"/>
              </w:rPr>
            </w:pPr>
            <w:r w:rsidRPr="00A778B6">
              <w:rPr>
                <w:rStyle w:val="Strong"/>
              </w:rPr>
              <w:t>Direct spending</w:t>
            </w:r>
          </w:p>
        </w:tc>
        <w:tc>
          <w:tcPr>
            <w:tcW w:w="3494" w:type="dxa"/>
          </w:tcPr>
          <w:p w14:paraId="32BF9058" w14:textId="77777777" w:rsidR="00BB0CAC" w:rsidRPr="00A778B6" w:rsidRDefault="00BB0CAC" w:rsidP="000676D8">
            <w:pPr>
              <w:pStyle w:val="TableText"/>
            </w:pPr>
            <w:r w:rsidRPr="00A778B6">
              <w:t>Traditional spending made as a direct transfer between the Crown and different entities or individuals.</w:t>
            </w:r>
          </w:p>
        </w:tc>
        <w:tc>
          <w:tcPr>
            <w:tcW w:w="3385" w:type="dxa"/>
          </w:tcPr>
          <w:p w14:paraId="7A1158C1" w14:textId="77777777" w:rsidR="00BB0CAC" w:rsidRPr="00255A36" w:rsidRDefault="00BB0CAC" w:rsidP="000676D8">
            <w:pPr>
              <w:pStyle w:val="TableText"/>
            </w:pPr>
            <w:r w:rsidRPr="00255A36">
              <w:t xml:space="preserve">Disclosed in the </w:t>
            </w:r>
            <w:r w:rsidRPr="00255A36">
              <w:rPr>
                <w:i/>
              </w:rPr>
              <w:t>Crown Financial Statements</w:t>
            </w:r>
            <w:r w:rsidRPr="00255A36">
              <w:t xml:space="preserve"> and annual Budget.</w:t>
            </w:r>
          </w:p>
        </w:tc>
      </w:tr>
      <w:tr w:rsidR="00BB0CAC" w14:paraId="417A806A" w14:textId="77777777" w:rsidTr="00861690">
        <w:tc>
          <w:tcPr>
            <w:tcW w:w="1626" w:type="dxa"/>
          </w:tcPr>
          <w:p w14:paraId="015918F0" w14:textId="77777777" w:rsidR="00BB0CAC" w:rsidRPr="00A778B6" w:rsidRDefault="00BB0CAC" w:rsidP="000676D8">
            <w:pPr>
              <w:pStyle w:val="TableText"/>
              <w:rPr>
                <w:rStyle w:val="Strong"/>
              </w:rPr>
            </w:pPr>
            <w:r w:rsidRPr="00A778B6">
              <w:rPr>
                <w:rStyle w:val="Strong"/>
              </w:rPr>
              <w:t>Spending through the tax system</w:t>
            </w:r>
          </w:p>
        </w:tc>
        <w:tc>
          <w:tcPr>
            <w:tcW w:w="3494" w:type="dxa"/>
          </w:tcPr>
          <w:p w14:paraId="521E51CE" w14:textId="77777777" w:rsidR="00BB0CAC" w:rsidRPr="00255A36" w:rsidRDefault="00BB0CAC" w:rsidP="000676D8">
            <w:pPr>
              <w:pStyle w:val="TableText"/>
            </w:pPr>
            <w:r w:rsidRPr="00255A36">
              <w:t xml:space="preserve">Hybrid transfers that can be taken as a cash payment or via a reduction in tax. </w:t>
            </w:r>
          </w:p>
        </w:tc>
        <w:tc>
          <w:tcPr>
            <w:tcW w:w="3385" w:type="dxa"/>
          </w:tcPr>
          <w:p w14:paraId="70352287" w14:textId="77777777" w:rsidR="00BB0CAC" w:rsidRPr="00255A36" w:rsidRDefault="00BB0CAC" w:rsidP="000676D8">
            <w:pPr>
              <w:pStyle w:val="TableText"/>
            </w:pPr>
            <w:r w:rsidRPr="00255A36">
              <w:t xml:space="preserve">A predictable cash value allows these transfers to be formally appropriated and disclosed in the </w:t>
            </w:r>
            <w:r w:rsidRPr="00255A36">
              <w:rPr>
                <w:i/>
              </w:rPr>
              <w:t>Crown Financial Statements</w:t>
            </w:r>
            <w:r w:rsidRPr="00255A36">
              <w:t xml:space="preserve"> and annual Budget. </w:t>
            </w:r>
          </w:p>
        </w:tc>
      </w:tr>
      <w:tr w:rsidR="00BB0CAC" w14:paraId="58D893B5" w14:textId="77777777" w:rsidTr="00861690">
        <w:tc>
          <w:tcPr>
            <w:tcW w:w="1626" w:type="dxa"/>
          </w:tcPr>
          <w:p w14:paraId="139D4797" w14:textId="77777777" w:rsidR="00BB0CAC" w:rsidRPr="00A778B6" w:rsidRDefault="00BB0CAC" w:rsidP="000676D8">
            <w:pPr>
              <w:pStyle w:val="TableText"/>
              <w:rPr>
                <w:rStyle w:val="Strong"/>
              </w:rPr>
            </w:pPr>
            <w:r w:rsidRPr="00A778B6">
              <w:rPr>
                <w:rStyle w:val="Strong"/>
              </w:rPr>
              <w:t>Tax expenditures</w:t>
            </w:r>
          </w:p>
        </w:tc>
        <w:tc>
          <w:tcPr>
            <w:tcW w:w="3494" w:type="dxa"/>
          </w:tcPr>
          <w:p w14:paraId="13D0209C" w14:textId="77777777" w:rsidR="00BB0CAC" w:rsidRPr="00255A36" w:rsidRDefault="00BB0CAC" w:rsidP="000676D8">
            <w:pPr>
              <w:pStyle w:val="TableText"/>
            </w:pPr>
            <w:r w:rsidRPr="00255A36">
              <w:t>Individual features of the tax system that reduce an entity</w:t>
            </w:r>
            <w:r>
              <w:t>’</w:t>
            </w:r>
            <w:r w:rsidRPr="00255A36">
              <w:t xml:space="preserve">s tax obligation in a way that is designed to give effect to policy other than to raise revenue in the most efficient and economically neutral way. </w:t>
            </w:r>
          </w:p>
        </w:tc>
        <w:tc>
          <w:tcPr>
            <w:tcW w:w="3385" w:type="dxa"/>
          </w:tcPr>
          <w:p w14:paraId="327FAF5A" w14:textId="77777777" w:rsidR="00BB0CAC" w:rsidRPr="00255A36" w:rsidRDefault="00BB0CAC" w:rsidP="000676D8">
            <w:pPr>
              <w:pStyle w:val="TableText"/>
            </w:pPr>
            <w:r w:rsidRPr="00255A36">
              <w:t xml:space="preserve">Tax expenditures are defined in tax legislation, but have not previously been disclosed. </w:t>
            </w:r>
          </w:p>
          <w:p w14:paraId="6776EFC0" w14:textId="77777777" w:rsidR="00BB0CAC" w:rsidRPr="00255A36" w:rsidRDefault="00BB0CAC" w:rsidP="000676D8">
            <w:pPr>
              <w:pStyle w:val="TableText"/>
            </w:pPr>
            <w:r w:rsidRPr="00255A36">
              <w:t>The 2010 statement was the first disclosure since 1984.</w:t>
            </w:r>
          </w:p>
        </w:tc>
      </w:tr>
    </w:tbl>
    <w:p w14:paraId="07A7635E" w14:textId="77777777" w:rsidR="00BB0CAC" w:rsidRPr="00831216" w:rsidRDefault="00BB0CAC" w:rsidP="00BB0CAC">
      <w:pPr>
        <w:pStyle w:val="Spacer"/>
      </w:pPr>
    </w:p>
    <w:p w14:paraId="3B9BD41B" w14:textId="77777777" w:rsidR="00BB0CAC" w:rsidRDefault="00BB0CAC" w:rsidP="00861690">
      <w:pPr>
        <w:keepLines/>
        <w:tabs>
          <w:tab w:val="right" w:pos="8505"/>
        </w:tabs>
        <w:spacing w:after="240"/>
        <w:jc w:val="left"/>
      </w:pPr>
      <w:r>
        <w:t xml:space="preserve">Tax systems differ from country to country. Thus, there is no current international consensus as to how tax expenditures should be categorised. Treasury released a discussion of how tax expenditure reporting could be categorised to meet New Zealand’s objectives in Treasury </w:t>
      </w:r>
      <w:r w:rsidRPr="003D1213">
        <w:rPr>
          <w:i/>
        </w:rPr>
        <w:t>Policy Perspectives Paper 09/01</w:t>
      </w:r>
      <w:r>
        <w:t xml:space="preserve">. </w:t>
      </w:r>
    </w:p>
    <w:p w14:paraId="6424EA2C" w14:textId="15C4F696" w:rsidR="00BB0CAC" w:rsidRDefault="00BB0CAC" w:rsidP="00861690">
      <w:pPr>
        <w:tabs>
          <w:tab w:val="right" w:pos="8505"/>
        </w:tabs>
        <w:jc w:val="left"/>
      </w:pPr>
      <w:r>
        <w:t>Some countries define tax expenditures indirectly relative to a normative benchmark. This approach allows countries to report a wider set of structural tax expenditures that are generally applicable</w:t>
      </w:r>
      <w:r w:rsidRPr="000D259A">
        <w:rPr>
          <w:vertAlign w:val="superscript"/>
        </w:rPr>
        <w:footnoteReference w:id="1"/>
      </w:r>
      <w:r w:rsidRPr="000D259A">
        <w:rPr>
          <w:vertAlign w:val="superscript"/>
        </w:rPr>
        <w:t>.</w:t>
      </w:r>
      <w:r>
        <w:t xml:space="preserve"> </w:t>
      </w:r>
      <w:r w:rsidRPr="003C12A9">
        <w:t>This document has focused, in the first instance, on a narrow subset of tax expenditures that bear a distinct fiscal cost and represent a clear policy-motivated exemption</w:t>
      </w:r>
      <w:r w:rsidRPr="000D259A">
        <w:rPr>
          <w:vertAlign w:val="superscript"/>
        </w:rPr>
        <w:footnoteReference w:id="2"/>
      </w:r>
      <w:r w:rsidRPr="003C12A9">
        <w:t xml:space="preserve"> to current tax practice</w:t>
      </w:r>
      <w:r>
        <w:t>. A summary of the guiding criteria is included in Figure</w:t>
      </w:r>
      <w:r w:rsidR="00861690">
        <w:t> </w:t>
      </w:r>
      <w:r>
        <w:t xml:space="preserve">1. </w:t>
      </w:r>
    </w:p>
    <w:p w14:paraId="77387611" w14:textId="77777777" w:rsidR="00BB0CAC" w:rsidRDefault="00BB0CAC" w:rsidP="00861690">
      <w:pPr>
        <w:keepLines/>
        <w:tabs>
          <w:tab w:val="right" w:pos="709"/>
        </w:tabs>
        <w:jc w:val="left"/>
      </w:pPr>
      <w:r>
        <w:t xml:space="preserve">No attempt has been made to identify a normative tax benchmark or to comprehensively analyse tax legislation.  </w:t>
      </w:r>
    </w:p>
    <w:p w14:paraId="4A13B8F9" w14:textId="77777777" w:rsidR="008C1748" w:rsidRDefault="00BB0CAC" w:rsidP="008C1748">
      <w:pPr>
        <w:pStyle w:val="Heading3"/>
        <w:spacing w:before="120"/>
      </w:pPr>
      <w:r w:rsidRPr="00D66F4C">
        <w:lastRenderedPageBreak/>
        <w:t>Figure 1: Guiding criteria for inclusion in this disclosure document</w:t>
      </w:r>
    </w:p>
    <w:bookmarkStart w:id="9" w:name="_MON_1461076854"/>
    <w:bookmarkEnd w:id="9"/>
    <w:p w14:paraId="4C167372" w14:textId="71ABF5B5" w:rsidR="00BB0CAC" w:rsidRDefault="008C1748" w:rsidP="008C1748">
      <w:pPr>
        <w:pStyle w:val="Heading3"/>
        <w:spacing w:before="120" w:after="480"/>
      </w:pPr>
      <w:r>
        <w:object w:dxaOrig="9045" w:dyaOrig="13350" w14:anchorId="7F132F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5pt;height:667.5pt" o:ole="">
            <v:imagedata r:id="rId8" o:title=""/>
          </v:shape>
          <o:OLEObject Type="Embed" ProgID="Word.Document.12" ShapeID="_x0000_i1025" DrawAspect="Content" ObjectID="_1587969161" r:id="rId9">
            <o:FieldCodes>\s</o:FieldCodes>
          </o:OLEObject>
        </w:object>
      </w:r>
      <w:r w:rsidR="00BB0CAC">
        <w:rPr>
          <w:noProof/>
          <w:lang w:val="en-NZ" w:eastAsia="en-NZ"/>
        </w:rPr>
        <mc:AlternateContent>
          <mc:Choice Requires="wps">
            <w:drawing>
              <wp:anchor distT="0" distB="0" distL="114300" distR="114300" simplePos="0" relativeHeight="251659264" behindDoc="0" locked="0" layoutInCell="1" allowOverlap="1" wp14:anchorId="1E100780" wp14:editId="67FC804E">
                <wp:simplePos x="0" y="0"/>
                <wp:positionH relativeFrom="column">
                  <wp:posOffset>-2487295</wp:posOffset>
                </wp:positionH>
                <wp:positionV relativeFrom="paragraph">
                  <wp:posOffset>6284595</wp:posOffset>
                </wp:positionV>
                <wp:extent cx="476250" cy="243205"/>
                <wp:effectExtent l="2222" t="0" r="40323" b="40322"/>
                <wp:wrapNone/>
                <wp:docPr id="3"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76250" cy="243205"/>
                        </a:xfrm>
                        <a:prstGeom prst="rightArrow">
                          <a:avLst>
                            <a:gd name="adj1" fmla="val 63444"/>
                            <a:gd name="adj2" fmla="val 53679"/>
                          </a:avLst>
                        </a:prstGeom>
                        <a:solidFill>
                          <a:srgbClr val="B8CCE4"/>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6AA3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1" o:spid="_x0000_s1026" type="#_x0000_t13" style="position:absolute;margin-left:-195.85pt;margin-top:494.85pt;width:37.5pt;height:19.1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" adj="15679,3948" fillcolor="#b8cce4"/>
            </w:pict>
          </mc:Fallback>
        </mc:AlternateContent>
      </w:r>
    </w:p>
    <w:p w14:paraId="1457AD44" w14:textId="77777777" w:rsidR="00BB0CAC" w:rsidRDefault="00BB0CAC" w:rsidP="00861690">
      <w:pPr>
        <w:pStyle w:val="Heading2"/>
        <w:spacing w:before="0"/>
      </w:pPr>
      <w:r>
        <w:br w:type="page"/>
      </w:r>
      <w:r w:rsidRPr="00D66F4C">
        <w:lastRenderedPageBreak/>
        <w:t>Current Tax Expenditures</w:t>
      </w:r>
    </w:p>
    <w:p w14:paraId="029EBCCF" w14:textId="53624C38" w:rsidR="00BB0CAC" w:rsidRPr="00E773DC" w:rsidRDefault="00BB0CAC" w:rsidP="00861690">
      <w:pPr>
        <w:spacing w:after="240"/>
        <w:jc w:val="left"/>
        <w:rPr>
          <w:highlight w:val="yellow"/>
        </w:rPr>
      </w:pPr>
      <w:r w:rsidRPr="003B62B0">
        <w:t xml:space="preserve">The following sections list tax expenditures drawn from the </w:t>
      </w:r>
      <w:r w:rsidRPr="003B62B0">
        <w:rPr>
          <w:i/>
        </w:rPr>
        <w:t>Income Tax Act 2007</w:t>
      </w:r>
      <w:r w:rsidR="003B62B0" w:rsidRPr="003B62B0">
        <w:rPr>
          <w:i/>
        </w:rPr>
        <w:t xml:space="preserve"> </w:t>
      </w:r>
      <w:r w:rsidR="003B62B0" w:rsidRPr="003B62B0">
        <w:t>and</w:t>
      </w:r>
      <w:r w:rsidR="003B62B0" w:rsidRPr="003B62B0">
        <w:rPr>
          <w:i/>
        </w:rPr>
        <w:t xml:space="preserve"> Goods and Services Act 19</w:t>
      </w:r>
      <w:r w:rsidR="007F5C07">
        <w:rPr>
          <w:i/>
        </w:rPr>
        <w:t>8</w:t>
      </w:r>
      <w:r w:rsidR="003B62B0" w:rsidRPr="003B62B0">
        <w:rPr>
          <w:i/>
        </w:rPr>
        <w:t>5</w:t>
      </w:r>
      <w:r w:rsidRPr="003B62B0">
        <w:rPr>
          <w:rFonts w:cs="Arial"/>
          <w:szCs w:val="22"/>
        </w:rPr>
        <w:t>, as at 1 April 2017</w:t>
      </w:r>
      <w:r w:rsidRPr="003B62B0">
        <w:rPr>
          <w:i/>
        </w:rPr>
        <w:t>.</w:t>
      </w:r>
      <w:r w:rsidR="003B62B0" w:rsidRPr="003B62B0">
        <w:t xml:space="preserve"> </w:t>
      </w:r>
      <w:r w:rsidRPr="003B62B0">
        <w:t>Appropriated</w:t>
      </w:r>
      <w:r w:rsidRPr="000C31BA">
        <w:t xml:space="preserve"> cash payments (spending) made through the tax system, eg, </w:t>
      </w:r>
      <w:proofErr w:type="gramStart"/>
      <w:r w:rsidRPr="000C31BA">
        <w:rPr>
          <w:rStyle w:val="Emphasis"/>
        </w:rPr>
        <w:t>Working</w:t>
      </w:r>
      <w:proofErr w:type="gramEnd"/>
      <w:r w:rsidRPr="000C31BA">
        <w:rPr>
          <w:rStyle w:val="Emphasis"/>
        </w:rPr>
        <w:t xml:space="preserve"> for Families</w:t>
      </w:r>
      <w:r w:rsidRPr="000C31BA">
        <w:t xml:space="preserve"> tax credits, have also been included in the list. Cash payments made through the tax system do not formally meet a tax expenditure definition, but have been included for transparency purposes. </w:t>
      </w:r>
    </w:p>
    <w:p w14:paraId="1EBE0008" w14:textId="342D0DDB" w:rsidR="00BB0CAC" w:rsidRPr="000C31BA" w:rsidRDefault="00A21E06" w:rsidP="00861690">
      <w:pPr>
        <w:spacing w:after="240"/>
        <w:jc w:val="left"/>
      </w:pPr>
      <w:r>
        <w:t>The fiscal cost of a</w:t>
      </w:r>
      <w:r w:rsidR="00BB0CAC" w:rsidRPr="000C31BA">
        <w:t xml:space="preserve"> small sub-section of tax expenditures with readily accessible data has been quantified (</w:t>
      </w:r>
      <w:r w:rsidR="003B62B0">
        <w:t>see</w:t>
      </w:r>
      <w:r w:rsidR="00BB0CAC" w:rsidRPr="000C31BA">
        <w:t xml:space="preserve"> Table 2). The government does not collect data on all tax expenditures as the compliance and administration costs of collecting additional data exceed the value that data might provide.</w:t>
      </w:r>
    </w:p>
    <w:p w14:paraId="7A13FA89" w14:textId="6E3124BC" w:rsidR="00BB0CAC" w:rsidRDefault="000C31BA" w:rsidP="00861690">
      <w:pPr>
        <w:spacing w:after="240"/>
        <w:jc w:val="left"/>
      </w:pPr>
      <w:r w:rsidRPr="000C31BA">
        <w:t>Table</w:t>
      </w:r>
      <w:r w:rsidR="005270BB">
        <w:t>s</w:t>
      </w:r>
      <w:r w:rsidRPr="000C31BA">
        <w:t xml:space="preserve"> 3 </w:t>
      </w:r>
      <w:r w:rsidR="005270BB">
        <w:t>and 5 also provide</w:t>
      </w:r>
      <w:r w:rsidRPr="000C31BA">
        <w:t xml:space="preserve"> the classification and p</w:t>
      </w:r>
      <w:r w:rsidR="00BB0CAC" w:rsidRPr="000C31BA">
        <w:t xml:space="preserve">olicy rationale for individual expenditures. These </w:t>
      </w:r>
      <w:r w:rsidRPr="000C31BA">
        <w:t>were</w:t>
      </w:r>
      <w:r w:rsidR="00BB0CAC" w:rsidRPr="000C31BA">
        <w:t xml:space="preserve"> added </w:t>
      </w:r>
      <w:r w:rsidR="008E4DD6">
        <w:t>to the 2017 s</w:t>
      </w:r>
      <w:r w:rsidRPr="000C31BA">
        <w:t xml:space="preserve">tatement </w:t>
      </w:r>
      <w:r w:rsidR="00BB0CAC" w:rsidRPr="000C31BA">
        <w:t>to provide greater transparency, as recommended by the Open Budget Initiative and Transparency International</w:t>
      </w:r>
      <w:r w:rsidR="00BB0CAC" w:rsidRPr="000C31BA">
        <w:rPr>
          <w:vertAlign w:val="superscript"/>
        </w:rPr>
        <w:footnoteReference w:id="3"/>
      </w:r>
      <w:r w:rsidR="00BB0CAC" w:rsidRPr="000C31BA">
        <w:t>.</w:t>
      </w:r>
    </w:p>
    <w:p w14:paraId="6B7F637C" w14:textId="77777777" w:rsidR="00BB0CAC" w:rsidRDefault="00BB0CAC" w:rsidP="00BB0CAC">
      <w:r>
        <w:tab/>
      </w:r>
    </w:p>
    <w:p w14:paraId="111886DC" w14:textId="77777777" w:rsidR="00BB0CAC" w:rsidRDefault="00BB0CAC" w:rsidP="00BB0CAC"/>
    <w:p w14:paraId="74FA4E4E" w14:textId="77777777" w:rsidR="00BB0CAC" w:rsidRDefault="00BB0CAC" w:rsidP="00BB0CAC"/>
    <w:p w14:paraId="419B02DE" w14:textId="77777777" w:rsidR="00BB0CAC" w:rsidRDefault="00BB0CAC" w:rsidP="00BB0CAC"/>
    <w:p w14:paraId="72C9D44A" w14:textId="77777777" w:rsidR="00BB0CAC" w:rsidRDefault="00BB0CAC" w:rsidP="00BB0CAC"/>
    <w:p w14:paraId="43E20C53" w14:textId="77777777" w:rsidR="00BB0CAC" w:rsidRDefault="00BB0CAC" w:rsidP="00BB0CAC">
      <w:pPr>
        <w:ind w:left="567"/>
      </w:pPr>
    </w:p>
    <w:p w14:paraId="51FFA64A" w14:textId="77777777" w:rsidR="00BB0CAC" w:rsidRDefault="00BB0CAC" w:rsidP="00BB0CAC"/>
    <w:p w14:paraId="579B526D" w14:textId="77777777" w:rsidR="00BB0CAC" w:rsidRDefault="00BB0CAC" w:rsidP="00BB0CAC">
      <w:pPr>
        <w:spacing w:before="0" w:after="0" w:line="240" w:lineRule="auto"/>
        <w:jc w:val="left"/>
      </w:pPr>
    </w:p>
    <w:p w14:paraId="7CB60EDD" w14:textId="77777777" w:rsidR="00BB0CAC" w:rsidRDefault="00BB0CAC" w:rsidP="00BB0CAC">
      <w:pPr>
        <w:sectPr w:rsidR="00BB0CAC" w:rsidSect="00861690">
          <w:headerReference w:type="default" r:id="rId10"/>
          <w:footerReference w:type="default" r:id="rId11"/>
          <w:headerReference w:type="first" r:id="rId12"/>
          <w:footerReference w:type="first" r:id="rId13"/>
          <w:pgSz w:w="11906" w:h="16838" w:code="9"/>
          <w:pgMar w:top="1276" w:right="1418" w:bottom="992" w:left="1701" w:header="567" w:footer="567" w:gutter="0"/>
          <w:pgNumType w:start="1"/>
          <w:cols w:space="708"/>
          <w:titlePg/>
          <w:docGrid w:linePitch="360"/>
        </w:sectPr>
      </w:pPr>
    </w:p>
    <w:p w14:paraId="6F652A5F" w14:textId="77777777" w:rsidR="00BB0CAC" w:rsidRPr="00D66F4C" w:rsidRDefault="00BB0CAC" w:rsidP="008C1748">
      <w:pPr>
        <w:pStyle w:val="Heading3"/>
        <w:rPr>
          <w:bCs w:val="0"/>
        </w:rPr>
      </w:pPr>
      <w:r w:rsidRPr="00D66F4C">
        <w:lastRenderedPageBreak/>
        <w:t xml:space="preserve">Table 2: Quantified Tax Expenditures and Spending through the Tax System </w:t>
      </w:r>
    </w:p>
    <w:tbl>
      <w:tblPr>
        <w:tblW w:w="1425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2345"/>
        <w:gridCol w:w="1701"/>
        <w:gridCol w:w="1701"/>
        <w:gridCol w:w="1125"/>
        <w:gridCol w:w="1125"/>
        <w:gridCol w:w="1125"/>
        <w:gridCol w:w="1125"/>
        <w:gridCol w:w="1093"/>
        <w:gridCol w:w="1157"/>
        <w:gridCol w:w="1755"/>
      </w:tblGrid>
      <w:tr w:rsidR="00BB0CAC" w:rsidRPr="00B56B80" w14:paraId="4E09325D" w14:textId="77777777" w:rsidTr="0088541B">
        <w:trPr>
          <w:trHeight w:val="473"/>
        </w:trPr>
        <w:tc>
          <w:tcPr>
            <w:tcW w:w="2345" w:type="dxa"/>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1717628B" w14:textId="77777777" w:rsidR="00BB0CAC" w:rsidRPr="008C1748" w:rsidRDefault="00BB0CAC" w:rsidP="000676D8">
            <w:pPr>
              <w:pStyle w:val="TableHeading"/>
            </w:pPr>
            <w:r w:rsidRPr="008C1748">
              <w:t>Quantified tax expenditures</w:t>
            </w:r>
          </w:p>
        </w:tc>
        <w:tc>
          <w:tcPr>
            <w:tcW w:w="1701" w:type="dxa"/>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772C34DA" w14:textId="77777777" w:rsidR="00BB0CAC" w:rsidRPr="008C1748" w:rsidRDefault="002928F4" w:rsidP="0088541B">
            <w:pPr>
              <w:pStyle w:val="TableHeading"/>
              <w:jc w:val="right"/>
            </w:pPr>
            <w:r w:rsidRPr="008C1748">
              <w:t>Value of expenditure 2012/13</w:t>
            </w:r>
            <w:r w:rsidR="00BB0CAC" w:rsidRPr="008C1748">
              <w:t xml:space="preserve"> (actual)</w:t>
            </w:r>
          </w:p>
        </w:tc>
        <w:tc>
          <w:tcPr>
            <w:tcW w:w="1701" w:type="dxa"/>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75F47E89" w14:textId="77777777" w:rsidR="00BB0CAC" w:rsidRPr="008C1748" w:rsidRDefault="002928F4" w:rsidP="0088541B">
            <w:pPr>
              <w:pStyle w:val="TableHeading"/>
              <w:jc w:val="right"/>
            </w:pPr>
            <w:r w:rsidRPr="008C1748">
              <w:t>Value of expenditure 2013/14</w:t>
            </w:r>
            <w:r w:rsidR="00BB0CAC" w:rsidRPr="008C1748">
              <w:t xml:space="preserve"> (actual)</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3FA74AFA" w14:textId="77777777" w:rsidR="00BB0CAC" w:rsidRPr="008C1748" w:rsidRDefault="002928F4" w:rsidP="0088541B">
            <w:pPr>
              <w:pStyle w:val="TableHeading"/>
              <w:jc w:val="center"/>
            </w:pPr>
            <w:r w:rsidRPr="008C1748">
              <w:t>Value of expenditure 2014/15</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0FF42061" w14:textId="77777777" w:rsidR="00BB0CAC" w:rsidRPr="008C1748" w:rsidRDefault="002928F4" w:rsidP="0088541B">
            <w:pPr>
              <w:pStyle w:val="TableHeading"/>
              <w:jc w:val="center"/>
            </w:pPr>
            <w:r w:rsidRPr="008C1748">
              <w:t>Value of expenditure 2015/16</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238AEEA0" w14:textId="77777777" w:rsidR="00BB0CAC" w:rsidRPr="008C1748" w:rsidRDefault="00BB0CAC" w:rsidP="0088541B">
            <w:pPr>
              <w:pStyle w:val="TableHeading"/>
              <w:jc w:val="center"/>
            </w:pPr>
            <w:r w:rsidRPr="008C1748">
              <w:t>Value of expenditure</w:t>
            </w:r>
          </w:p>
          <w:p w14:paraId="23F12B3F" w14:textId="77777777" w:rsidR="00BB0CAC" w:rsidRPr="008C1748" w:rsidRDefault="002928F4" w:rsidP="0088541B">
            <w:pPr>
              <w:pStyle w:val="TableHeading"/>
              <w:jc w:val="center"/>
            </w:pPr>
            <w:r w:rsidRPr="008C1748">
              <w:t>2016/17</w:t>
            </w:r>
          </w:p>
        </w:tc>
        <w:tc>
          <w:tcPr>
            <w:tcW w:w="1755" w:type="dxa"/>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7614CF6C" w14:textId="77777777" w:rsidR="00BB0CAC" w:rsidRPr="008C1748" w:rsidRDefault="00BB0CAC" w:rsidP="0088541B">
            <w:pPr>
              <w:pStyle w:val="TableHeading"/>
              <w:jc w:val="right"/>
            </w:pPr>
            <w:r w:rsidRPr="008C1748">
              <w:t>Value of expenditure</w:t>
            </w:r>
          </w:p>
          <w:p w14:paraId="176663A3" w14:textId="77777777" w:rsidR="00BB0CAC" w:rsidRPr="008C1748" w:rsidRDefault="002928F4" w:rsidP="0088541B">
            <w:pPr>
              <w:pStyle w:val="TableHeading"/>
              <w:jc w:val="right"/>
              <w:rPr>
                <w:i/>
              </w:rPr>
            </w:pPr>
            <w:r w:rsidRPr="008C1748">
              <w:t>2017/18</w:t>
            </w:r>
            <w:r w:rsidR="00BB0CAC" w:rsidRPr="008C1748">
              <w:t xml:space="preserve"> (forecast)</w:t>
            </w:r>
          </w:p>
        </w:tc>
      </w:tr>
      <w:tr w:rsidR="00BB0CAC" w:rsidRPr="00B56B80" w14:paraId="79C69620" w14:textId="77777777" w:rsidTr="0088541B">
        <w:trPr>
          <w:trHeight w:val="472"/>
        </w:trPr>
        <w:tc>
          <w:tcPr>
            <w:tcW w:w="2345" w:type="dxa"/>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bottom"/>
          </w:tcPr>
          <w:p w14:paraId="51DE04EF" w14:textId="77777777" w:rsidR="00BB0CAC" w:rsidRPr="00A75E64" w:rsidRDefault="00BB0CAC" w:rsidP="000676D8">
            <w:pPr>
              <w:spacing w:line="200" w:lineRule="atLeast"/>
              <w:jc w:val="center"/>
              <w:rPr>
                <w:b/>
                <w:color w:val="0055A0"/>
                <w:sz w:val="18"/>
                <w:szCs w:val="18"/>
                <w:lang w:val="en-AU"/>
              </w:rPr>
            </w:pPr>
          </w:p>
        </w:tc>
        <w:tc>
          <w:tcPr>
            <w:tcW w:w="1701" w:type="dxa"/>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4D7014EC" w14:textId="77777777" w:rsidR="00BB0CAC" w:rsidRPr="00B56B80" w:rsidRDefault="00BB0CAC" w:rsidP="000676D8">
            <w:pPr>
              <w:spacing w:line="200" w:lineRule="atLeast"/>
              <w:jc w:val="center"/>
              <w:rPr>
                <w:b/>
                <w:color w:val="0055A0"/>
                <w:sz w:val="18"/>
                <w:szCs w:val="18"/>
                <w:highlight w:val="yellow"/>
                <w:lang w:val="en-AU"/>
              </w:rPr>
            </w:pPr>
          </w:p>
        </w:tc>
        <w:tc>
          <w:tcPr>
            <w:tcW w:w="1701" w:type="dxa"/>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5FDF823E" w14:textId="77777777" w:rsidR="00BB0CAC" w:rsidRPr="00B56B80" w:rsidRDefault="00BB0CAC" w:rsidP="000676D8">
            <w:pPr>
              <w:spacing w:line="200" w:lineRule="atLeast"/>
              <w:jc w:val="center"/>
              <w:rPr>
                <w:b/>
                <w:color w:val="0055A0"/>
                <w:sz w:val="18"/>
                <w:szCs w:val="18"/>
                <w:highlight w:val="yellow"/>
                <w:lang w:val="en-AU"/>
              </w:rPr>
            </w:pP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1C945C91" w14:textId="77777777" w:rsidR="00BB0CAC" w:rsidRPr="008C1748" w:rsidRDefault="002928F4" w:rsidP="0088541B">
            <w:pPr>
              <w:pStyle w:val="TableHeading"/>
              <w:jc w:val="right"/>
            </w:pPr>
            <w:r w:rsidRPr="008C1748">
              <w:t>As at  April 2018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02AFEA91" w14:textId="77777777" w:rsidR="00BB0CAC" w:rsidRPr="008C1748" w:rsidRDefault="00BB0CAC" w:rsidP="0088541B">
            <w:pPr>
              <w:pStyle w:val="TableHeading"/>
              <w:jc w:val="right"/>
            </w:pPr>
            <w:r w:rsidRPr="008C1748">
              <w:t>Estimated Actual</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31C65F85" w14:textId="77777777" w:rsidR="00BB0CAC" w:rsidRPr="008C1748" w:rsidRDefault="002928F4" w:rsidP="0088541B">
            <w:pPr>
              <w:pStyle w:val="TableHeading"/>
              <w:jc w:val="right"/>
            </w:pPr>
            <w:r w:rsidRPr="008C1748">
              <w:t>As at   April 2018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224B368E" w14:textId="77777777" w:rsidR="00BB0CAC" w:rsidRPr="008C1748" w:rsidRDefault="00BB0CAC" w:rsidP="0088541B">
            <w:pPr>
              <w:pStyle w:val="TableHeading"/>
              <w:jc w:val="right"/>
            </w:pPr>
            <w:r w:rsidRPr="008C1748">
              <w:t>Estimated Actual</w:t>
            </w:r>
          </w:p>
        </w:tc>
        <w:tc>
          <w:tcPr>
            <w:tcW w:w="109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3A78A9C5" w14:textId="77777777" w:rsidR="00BB0CAC" w:rsidRPr="008C1748" w:rsidRDefault="002928F4" w:rsidP="0088541B">
            <w:pPr>
              <w:pStyle w:val="TableHeading"/>
              <w:jc w:val="right"/>
            </w:pPr>
            <w:r w:rsidRPr="008C1748">
              <w:t>As at April 2018</w:t>
            </w:r>
          </w:p>
        </w:tc>
        <w:tc>
          <w:tcPr>
            <w:tcW w:w="1157"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4215CFA5" w14:textId="77777777" w:rsidR="00BB0CAC" w:rsidRPr="008C1748" w:rsidRDefault="00BB0CAC" w:rsidP="0088541B">
            <w:pPr>
              <w:pStyle w:val="TableHeading"/>
              <w:jc w:val="right"/>
            </w:pPr>
            <w:r w:rsidRPr="008C1748">
              <w:t>Estimated Actual</w:t>
            </w:r>
          </w:p>
        </w:tc>
        <w:tc>
          <w:tcPr>
            <w:tcW w:w="1755" w:type="dxa"/>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bottom"/>
          </w:tcPr>
          <w:p w14:paraId="59CBC80E" w14:textId="77777777" w:rsidR="00BB0CAC" w:rsidRPr="00B56B80" w:rsidRDefault="00BB0CAC" w:rsidP="000676D8">
            <w:pPr>
              <w:pStyle w:val="TableHeading"/>
              <w:rPr>
                <w:highlight w:val="yellow"/>
              </w:rPr>
            </w:pPr>
          </w:p>
        </w:tc>
      </w:tr>
      <w:tr w:rsidR="00BB0CAC" w:rsidRPr="00B56B80" w14:paraId="241D4341" w14:textId="77777777" w:rsidTr="008C1748">
        <w:trPr>
          <w:trHeight w:val="375"/>
        </w:trPr>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bottom"/>
          </w:tcPr>
          <w:p w14:paraId="527A500C" w14:textId="77777777" w:rsidR="00BB0CAC" w:rsidRPr="00D62D9A" w:rsidRDefault="00BB0CAC" w:rsidP="000676D8">
            <w:pPr>
              <w:pStyle w:val="TableText"/>
            </w:pPr>
            <w:r w:rsidRPr="00D62D9A">
              <w:t>Charitable or other public benefit gifts by a company: deduction</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95DB11B" w14:textId="77777777" w:rsidR="00BB0CAC" w:rsidRPr="001253C8" w:rsidDel="004822FA" w:rsidRDefault="002928F4" w:rsidP="000676D8">
            <w:pPr>
              <w:pStyle w:val="TableText"/>
              <w:jc w:val="right"/>
              <w:rPr>
                <w:lang w:val="en-AU"/>
              </w:rPr>
            </w:pPr>
            <w:r>
              <w:rPr>
                <w:lang w:val="en-AU"/>
              </w:rPr>
              <w:t>20</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A601CFE" w14:textId="77777777" w:rsidR="00BB0CAC" w:rsidRPr="001253C8" w:rsidDel="004822FA" w:rsidRDefault="002928F4" w:rsidP="000676D8">
            <w:pPr>
              <w:pStyle w:val="TableText"/>
              <w:jc w:val="right"/>
              <w:rPr>
                <w:lang w:val="en-AU"/>
              </w:rPr>
            </w:pPr>
            <w:r>
              <w:rPr>
                <w:lang w:val="en-AU"/>
              </w:rPr>
              <w:t>17</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445215A" w14:textId="77777777" w:rsidR="00BB0CAC" w:rsidRPr="00F60D34" w:rsidDel="004822FA" w:rsidRDefault="002928F4" w:rsidP="000676D8">
            <w:pPr>
              <w:pStyle w:val="TableText"/>
              <w:jc w:val="right"/>
              <w:rPr>
                <w:rStyle w:val="Emphasis"/>
              </w:rPr>
            </w:pPr>
            <w:r>
              <w:rPr>
                <w:rStyle w:val="Emphasis"/>
              </w:rPr>
              <w:t>30</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B1D54CF" w14:textId="77777777" w:rsidR="00BB0CAC" w:rsidRPr="001253C8" w:rsidDel="004822FA" w:rsidRDefault="002928F4" w:rsidP="000676D8">
            <w:pPr>
              <w:pStyle w:val="TableText"/>
              <w:jc w:val="right"/>
              <w:rPr>
                <w:lang w:val="en-AU"/>
              </w:rPr>
            </w:pPr>
            <w:r>
              <w:rPr>
                <w:lang w:val="en-AU"/>
              </w:rPr>
              <w:t>30</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F4B5E3F" w14:textId="77777777" w:rsidR="00BB0CAC" w:rsidRPr="00BA2A18" w:rsidRDefault="002928F4" w:rsidP="000676D8">
            <w:pPr>
              <w:pStyle w:val="TableText"/>
              <w:jc w:val="right"/>
              <w:rPr>
                <w:rStyle w:val="Emphasis"/>
              </w:rPr>
            </w:pPr>
            <w:r>
              <w:rPr>
                <w:rStyle w:val="Emphasis"/>
              </w:rPr>
              <w:t>27</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96B5095" w14:textId="77777777" w:rsidR="00BB0CAC" w:rsidRPr="001253C8" w:rsidRDefault="002928F4" w:rsidP="000676D8">
            <w:pPr>
              <w:pStyle w:val="TableText"/>
              <w:jc w:val="right"/>
              <w:rPr>
                <w:lang w:val="en-AU"/>
              </w:rPr>
            </w:pPr>
            <w:r>
              <w:rPr>
                <w:lang w:val="en-AU"/>
              </w:rPr>
              <w:t>27</w:t>
            </w:r>
          </w:p>
        </w:tc>
        <w:tc>
          <w:tcPr>
            <w:tcW w:w="109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center"/>
          </w:tcPr>
          <w:p w14:paraId="04FF38BA" w14:textId="77777777" w:rsidR="00BB0CAC" w:rsidRPr="00BA2A18" w:rsidRDefault="002928F4" w:rsidP="000676D8">
            <w:pPr>
              <w:pStyle w:val="TableText"/>
              <w:jc w:val="right"/>
              <w:rPr>
                <w:rStyle w:val="Emphasis"/>
              </w:rPr>
            </w:pPr>
            <w:r>
              <w:rPr>
                <w:rStyle w:val="Emphasis"/>
              </w:rPr>
              <w:t>12</w:t>
            </w:r>
          </w:p>
        </w:tc>
        <w:tc>
          <w:tcPr>
            <w:tcW w:w="1157"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center"/>
          </w:tcPr>
          <w:p w14:paraId="4E2FEDD1" w14:textId="77777777" w:rsidR="00BB0CAC" w:rsidRPr="001253C8" w:rsidRDefault="002928F4" w:rsidP="000676D8">
            <w:pPr>
              <w:pStyle w:val="TableText"/>
              <w:jc w:val="right"/>
              <w:rPr>
                <w:lang w:val="en-AU"/>
              </w:rPr>
            </w:pPr>
            <w:r>
              <w:rPr>
                <w:lang w:val="en-AU"/>
              </w:rPr>
              <w:t>15</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vAlign w:val="center"/>
          </w:tcPr>
          <w:p w14:paraId="1FC35840" w14:textId="77777777" w:rsidR="00BB0CAC" w:rsidRPr="001253C8" w:rsidRDefault="002928F4" w:rsidP="000676D8">
            <w:pPr>
              <w:pStyle w:val="TableText"/>
              <w:jc w:val="right"/>
              <w:rPr>
                <w:lang w:val="en-AU"/>
              </w:rPr>
            </w:pPr>
            <w:r>
              <w:rPr>
                <w:lang w:val="en-AU"/>
              </w:rPr>
              <w:t>15</w:t>
            </w:r>
          </w:p>
        </w:tc>
      </w:tr>
      <w:tr w:rsidR="00BB0CAC" w:rsidRPr="00B56B80" w14:paraId="1AE09F75" w14:textId="77777777" w:rsidTr="008C1748">
        <w:trPr>
          <w:trHeight w:val="375"/>
        </w:trPr>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1A9CA57" w14:textId="77777777" w:rsidR="00BB0CAC" w:rsidRPr="00D62D9A" w:rsidRDefault="00BB0CAC" w:rsidP="000676D8">
            <w:pPr>
              <w:pStyle w:val="TableText"/>
            </w:pPr>
            <w:r w:rsidRPr="00D62D9A">
              <w:t>Charitable or other public benefits: tax credit</w:t>
            </w:r>
            <w:r w:rsidRPr="00D62D9A">
              <w:tab/>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9C42826" w14:textId="77777777" w:rsidR="00BB0CAC" w:rsidRPr="001253C8" w:rsidDel="004822FA" w:rsidRDefault="002928F4" w:rsidP="000676D8">
            <w:pPr>
              <w:pStyle w:val="TableText"/>
              <w:jc w:val="right"/>
              <w:rPr>
                <w:lang w:val="en-AU"/>
              </w:rPr>
            </w:pPr>
            <w:r>
              <w:rPr>
                <w:lang w:val="en-AU"/>
              </w:rPr>
              <w:t>228</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5450AA7" w14:textId="77777777" w:rsidR="00BB0CAC" w:rsidRPr="001253C8" w:rsidDel="004822FA" w:rsidRDefault="002928F4" w:rsidP="000676D8">
            <w:pPr>
              <w:pStyle w:val="TableText"/>
              <w:jc w:val="right"/>
              <w:rPr>
                <w:lang w:val="en-AU"/>
              </w:rPr>
            </w:pPr>
            <w:r>
              <w:rPr>
                <w:lang w:val="en-AU"/>
              </w:rPr>
              <w:t>239</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4B68222" w14:textId="77777777" w:rsidR="00BB0CAC" w:rsidRPr="00F60D34" w:rsidDel="004822FA" w:rsidRDefault="002928F4" w:rsidP="000676D8">
            <w:pPr>
              <w:pStyle w:val="TableText"/>
              <w:jc w:val="right"/>
              <w:rPr>
                <w:rStyle w:val="Emphasis"/>
              </w:rPr>
            </w:pPr>
            <w:r>
              <w:rPr>
                <w:rStyle w:val="Emphasis"/>
              </w:rPr>
              <w:t>248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8AB278B" w14:textId="77777777" w:rsidR="00BB0CAC" w:rsidRPr="001253C8" w:rsidDel="004822FA" w:rsidRDefault="002928F4" w:rsidP="000676D8">
            <w:pPr>
              <w:pStyle w:val="TableText"/>
              <w:jc w:val="right"/>
              <w:rPr>
                <w:lang w:val="en-AU"/>
              </w:rPr>
            </w:pPr>
            <w:r>
              <w:rPr>
                <w:lang w:val="en-AU"/>
              </w:rPr>
              <w:t>248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918ED7E" w14:textId="2ABA56DF" w:rsidR="00BB0CAC" w:rsidRPr="00BA2A18" w:rsidRDefault="00075688" w:rsidP="000676D8">
            <w:pPr>
              <w:pStyle w:val="TableText"/>
              <w:jc w:val="right"/>
              <w:rPr>
                <w:rStyle w:val="Emphasis"/>
              </w:rPr>
            </w:pPr>
            <w:r>
              <w:rPr>
                <w:rStyle w:val="Emphasis"/>
              </w:rPr>
              <w:t>252</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C5BC721" w14:textId="77777777" w:rsidR="00BB0CAC" w:rsidRPr="001253C8" w:rsidRDefault="002928F4" w:rsidP="000676D8">
            <w:pPr>
              <w:pStyle w:val="TableText"/>
              <w:jc w:val="right"/>
              <w:rPr>
                <w:lang w:val="en-AU"/>
              </w:rPr>
            </w:pPr>
            <w:r>
              <w:rPr>
                <w:lang w:val="en-AU"/>
              </w:rPr>
              <w:t>254</w:t>
            </w:r>
          </w:p>
        </w:tc>
        <w:tc>
          <w:tcPr>
            <w:tcW w:w="109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7F2F3FD" w14:textId="77777777" w:rsidR="00BB0CAC" w:rsidRPr="00BA2A18" w:rsidRDefault="002928F4" w:rsidP="000676D8">
            <w:pPr>
              <w:pStyle w:val="TableText"/>
              <w:jc w:val="right"/>
              <w:rPr>
                <w:rStyle w:val="Emphasis"/>
              </w:rPr>
            </w:pPr>
            <w:r>
              <w:rPr>
                <w:rStyle w:val="Emphasis"/>
              </w:rPr>
              <w:t>246</w:t>
            </w:r>
          </w:p>
        </w:tc>
        <w:tc>
          <w:tcPr>
            <w:tcW w:w="1157"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E86F0D2" w14:textId="77777777" w:rsidR="00BB0CAC" w:rsidRPr="001253C8" w:rsidRDefault="002928F4" w:rsidP="000676D8">
            <w:pPr>
              <w:pStyle w:val="TableText"/>
              <w:jc w:val="right"/>
              <w:rPr>
                <w:lang w:val="en-AU"/>
              </w:rPr>
            </w:pPr>
            <w:r>
              <w:rPr>
                <w:lang w:val="en-AU"/>
              </w:rPr>
              <w:t>258</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9D1A62C" w14:textId="77777777" w:rsidR="00BB0CAC" w:rsidRPr="001253C8" w:rsidRDefault="002928F4" w:rsidP="000676D8">
            <w:pPr>
              <w:pStyle w:val="TableText"/>
              <w:jc w:val="right"/>
              <w:rPr>
                <w:lang w:val="en-AU"/>
              </w:rPr>
            </w:pPr>
            <w:r>
              <w:rPr>
                <w:lang w:val="en-AU"/>
              </w:rPr>
              <w:t>258</w:t>
            </w:r>
          </w:p>
        </w:tc>
      </w:tr>
      <w:tr w:rsidR="00BB0CAC" w:rsidRPr="00B56B80" w14:paraId="16784F87"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6520B32" w14:textId="77777777" w:rsidR="00BB0CAC" w:rsidRPr="00D62D9A" w:rsidRDefault="00BB0CAC" w:rsidP="000676D8">
            <w:pPr>
              <w:pStyle w:val="TableText"/>
            </w:pPr>
            <w:r w:rsidRPr="00D62D9A">
              <w:t>Independent earner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4843FC7" w14:textId="77777777" w:rsidR="00BB0CAC" w:rsidRPr="001253C8" w:rsidDel="004822FA" w:rsidRDefault="002928F4" w:rsidP="000676D8">
            <w:pPr>
              <w:pStyle w:val="TableText"/>
              <w:jc w:val="right"/>
              <w:rPr>
                <w:lang w:val="en-AU"/>
              </w:rPr>
            </w:pPr>
            <w:r>
              <w:rPr>
                <w:lang w:val="en-AU"/>
              </w:rPr>
              <w:t>224</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08F7B20" w14:textId="77777777" w:rsidR="00BB0CAC" w:rsidRPr="001253C8" w:rsidDel="004822FA" w:rsidRDefault="002928F4" w:rsidP="000676D8">
            <w:pPr>
              <w:pStyle w:val="TableText"/>
              <w:jc w:val="right"/>
              <w:rPr>
                <w:lang w:val="en-AU"/>
              </w:rPr>
            </w:pPr>
            <w:r>
              <w:rPr>
                <w:lang w:val="en-AU"/>
              </w:rPr>
              <w:t>226</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B735F8D" w14:textId="77777777" w:rsidR="00BB0CAC" w:rsidRPr="00F60D34" w:rsidDel="004822FA" w:rsidRDefault="002928F4" w:rsidP="000676D8">
            <w:pPr>
              <w:pStyle w:val="TableText"/>
              <w:jc w:val="right"/>
              <w:rPr>
                <w:rStyle w:val="Emphasis"/>
              </w:rPr>
            </w:pPr>
            <w:r>
              <w:rPr>
                <w:rStyle w:val="Emphasis"/>
              </w:rPr>
              <w:t>224</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42597C4" w14:textId="7D747E76" w:rsidR="00BB0CAC" w:rsidRPr="001253C8" w:rsidDel="004822FA" w:rsidRDefault="00075688" w:rsidP="000676D8">
            <w:pPr>
              <w:pStyle w:val="TableText"/>
              <w:jc w:val="right"/>
              <w:rPr>
                <w:lang w:val="en-AU"/>
              </w:rPr>
            </w:pPr>
            <w:r>
              <w:rPr>
                <w:lang w:val="en-AU"/>
              </w:rPr>
              <w:t>226</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13BF148" w14:textId="07ABD9B4" w:rsidR="00BB0CAC" w:rsidRPr="00BA2A18" w:rsidRDefault="00075688" w:rsidP="000676D8">
            <w:pPr>
              <w:pStyle w:val="TableText"/>
              <w:jc w:val="right"/>
              <w:rPr>
                <w:rStyle w:val="Emphasis"/>
              </w:rPr>
            </w:pPr>
            <w:r>
              <w:rPr>
                <w:rStyle w:val="Emphasis"/>
              </w:rPr>
              <w:t>221</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3A3F7AC" w14:textId="77777777" w:rsidR="00BB0CAC" w:rsidRPr="001253C8" w:rsidRDefault="002928F4" w:rsidP="000676D8">
            <w:pPr>
              <w:pStyle w:val="TableText"/>
              <w:jc w:val="right"/>
              <w:rPr>
                <w:lang w:val="en-AU"/>
              </w:rPr>
            </w:pPr>
            <w:r>
              <w:rPr>
                <w:lang w:val="en-AU"/>
              </w:rPr>
              <w:t>226</w:t>
            </w:r>
          </w:p>
        </w:tc>
        <w:tc>
          <w:tcPr>
            <w:tcW w:w="109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4617B3E" w14:textId="77777777" w:rsidR="00BB0CAC" w:rsidRPr="00BA2A18" w:rsidRDefault="002928F4" w:rsidP="000676D8">
            <w:pPr>
              <w:pStyle w:val="TableText"/>
              <w:jc w:val="right"/>
              <w:rPr>
                <w:rStyle w:val="Emphasis"/>
              </w:rPr>
            </w:pPr>
            <w:r>
              <w:rPr>
                <w:rStyle w:val="Emphasis"/>
              </w:rPr>
              <w:t>215</w:t>
            </w:r>
          </w:p>
        </w:tc>
        <w:tc>
          <w:tcPr>
            <w:tcW w:w="1157"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AC1E558" w14:textId="77777777" w:rsidR="00BB0CAC" w:rsidRPr="001253C8" w:rsidRDefault="002928F4" w:rsidP="000676D8">
            <w:pPr>
              <w:pStyle w:val="TableText"/>
              <w:jc w:val="right"/>
              <w:rPr>
                <w:lang w:val="en-AU"/>
              </w:rPr>
            </w:pPr>
            <w:r>
              <w:rPr>
                <w:lang w:val="en-AU"/>
              </w:rPr>
              <w:t>226</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B88497E" w14:textId="77777777" w:rsidR="00BB0CAC" w:rsidRPr="001253C8" w:rsidRDefault="002928F4" w:rsidP="000676D8">
            <w:pPr>
              <w:pStyle w:val="TableText"/>
              <w:jc w:val="right"/>
              <w:rPr>
                <w:lang w:val="en-AU"/>
              </w:rPr>
            </w:pPr>
            <w:r>
              <w:rPr>
                <w:lang w:val="en-AU"/>
              </w:rPr>
              <w:t>226</w:t>
            </w:r>
          </w:p>
        </w:tc>
      </w:tr>
      <w:tr w:rsidR="00BB0CAC" w:rsidRPr="00B56B80" w14:paraId="5656071F"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08F9EF9" w14:textId="77777777" w:rsidR="00BB0CAC" w:rsidRPr="00D62D9A" w:rsidRDefault="00BB0CAC" w:rsidP="000676D8">
            <w:pPr>
              <w:pStyle w:val="TableText"/>
            </w:pPr>
            <w:r w:rsidRPr="00D62D9A">
              <w:t>Māori Authorities: donations</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40D28163" w14:textId="77777777" w:rsidR="00BB0CAC" w:rsidRPr="001253C8" w:rsidDel="004822FA" w:rsidRDefault="002928F4" w:rsidP="000676D8">
            <w:pPr>
              <w:pStyle w:val="TableText"/>
              <w:jc w:val="right"/>
              <w:rPr>
                <w:lang w:val="en-AU"/>
              </w:rPr>
            </w:pPr>
            <w:r>
              <w:rPr>
                <w:lang w:val="en-AU"/>
              </w:rPr>
              <w:t>0.7</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6BA7F04" w14:textId="77777777" w:rsidR="00BB0CAC" w:rsidRPr="001253C8" w:rsidDel="004822FA" w:rsidRDefault="002928F4" w:rsidP="000676D8">
            <w:pPr>
              <w:pStyle w:val="TableText"/>
              <w:jc w:val="right"/>
              <w:rPr>
                <w:lang w:val="en-AU"/>
              </w:rPr>
            </w:pPr>
            <w:r>
              <w:rPr>
                <w:lang w:val="en-AU"/>
              </w:rPr>
              <w:t>0.9</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BA7A44E" w14:textId="77777777" w:rsidR="00BB0CAC" w:rsidRPr="00F60D34" w:rsidDel="004822FA" w:rsidRDefault="002928F4" w:rsidP="000676D8">
            <w:pPr>
              <w:pStyle w:val="TableText"/>
              <w:jc w:val="right"/>
              <w:rPr>
                <w:rStyle w:val="Emphasis"/>
              </w:rPr>
            </w:pPr>
            <w:r>
              <w:rPr>
                <w:rStyle w:val="Emphasis"/>
              </w:rPr>
              <w:t>4.8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95714BD" w14:textId="77777777" w:rsidR="00BB0CAC" w:rsidRPr="001253C8" w:rsidDel="004822FA" w:rsidRDefault="002928F4" w:rsidP="000676D8">
            <w:pPr>
              <w:pStyle w:val="TableText"/>
              <w:jc w:val="right"/>
              <w:rPr>
                <w:lang w:val="en-AU"/>
              </w:rPr>
            </w:pPr>
            <w:r>
              <w:rPr>
                <w:lang w:val="en-AU"/>
              </w:rPr>
              <w:t>4.8</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CC34650" w14:textId="77777777" w:rsidR="00BB0CAC" w:rsidRPr="00BA2A18" w:rsidRDefault="002928F4" w:rsidP="000676D8">
            <w:pPr>
              <w:pStyle w:val="TableText"/>
              <w:jc w:val="right"/>
              <w:rPr>
                <w:rStyle w:val="Emphasis"/>
              </w:rPr>
            </w:pPr>
            <w:r>
              <w:rPr>
                <w:rStyle w:val="Emphasis"/>
              </w:rPr>
              <w:t>3.7</w:t>
            </w:r>
          </w:p>
        </w:tc>
        <w:tc>
          <w:tcPr>
            <w:tcW w:w="112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A6D58FC" w14:textId="77777777" w:rsidR="00BB0CAC" w:rsidRPr="001253C8" w:rsidRDefault="002928F4" w:rsidP="000676D8">
            <w:pPr>
              <w:pStyle w:val="TableText"/>
              <w:jc w:val="right"/>
              <w:rPr>
                <w:lang w:val="en-AU"/>
              </w:rPr>
            </w:pPr>
            <w:r>
              <w:rPr>
                <w:lang w:val="en-AU"/>
              </w:rPr>
              <w:t>3.7</w:t>
            </w:r>
          </w:p>
        </w:tc>
        <w:tc>
          <w:tcPr>
            <w:tcW w:w="109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FFB8101" w14:textId="77777777" w:rsidR="00BB0CAC" w:rsidRPr="00BA2A18" w:rsidRDefault="002928F4" w:rsidP="000676D8">
            <w:pPr>
              <w:pStyle w:val="TableText"/>
              <w:jc w:val="right"/>
              <w:rPr>
                <w:rStyle w:val="Emphasis"/>
              </w:rPr>
            </w:pPr>
            <w:r>
              <w:rPr>
                <w:rStyle w:val="Emphasis"/>
              </w:rPr>
              <w:t>1.7</w:t>
            </w:r>
          </w:p>
        </w:tc>
        <w:tc>
          <w:tcPr>
            <w:tcW w:w="1157"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E90EBD1" w14:textId="77777777" w:rsidR="00BB0CAC" w:rsidRPr="001253C8" w:rsidRDefault="002928F4" w:rsidP="000676D8">
            <w:pPr>
              <w:pStyle w:val="TableText"/>
              <w:jc w:val="right"/>
              <w:rPr>
                <w:lang w:val="en-AU"/>
              </w:rPr>
            </w:pPr>
            <w:r>
              <w:rPr>
                <w:lang w:val="en-AU"/>
              </w:rPr>
              <w:t>1.7</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8B36C7F" w14:textId="77777777" w:rsidR="00BB0CAC" w:rsidRPr="001253C8" w:rsidRDefault="002928F4" w:rsidP="000676D8">
            <w:pPr>
              <w:pStyle w:val="TableText"/>
              <w:jc w:val="right"/>
              <w:rPr>
                <w:lang w:val="en-AU"/>
              </w:rPr>
            </w:pPr>
            <w:r>
              <w:rPr>
                <w:lang w:val="en-AU"/>
              </w:rPr>
              <w:t>1.7</w:t>
            </w:r>
          </w:p>
        </w:tc>
      </w:tr>
      <w:tr w:rsidR="00BB0CAC" w:rsidRPr="00D62D9A" w14:paraId="11357F84" w14:textId="77777777" w:rsidTr="00FA1438">
        <w:tc>
          <w:tcPr>
            <w:tcW w:w="14252" w:type="dxa"/>
            <w:gridSpan w:val="10"/>
            <w:tcBorders>
              <w:top w:val="single" w:sz="2" w:space="0" w:color="808080" w:themeColor="background1" w:themeShade="80"/>
              <w:left w:val="nil"/>
              <w:bottom w:val="single" w:sz="2" w:space="0" w:color="808080" w:themeColor="background1" w:themeShade="80"/>
              <w:right w:val="nil"/>
            </w:tcBorders>
            <w:vAlign w:val="bottom"/>
          </w:tcPr>
          <w:p w14:paraId="3D5C18F0" w14:textId="77777777" w:rsidR="00BB0CAC" w:rsidRPr="00D62D9A" w:rsidRDefault="00BB0CAC" w:rsidP="008C1748">
            <w:pPr>
              <w:pStyle w:val="TableText"/>
              <w:spacing w:before="120" w:after="240"/>
              <w:rPr>
                <w:rStyle w:val="Emphasis"/>
              </w:rPr>
            </w:pPr>
            <w:r w:rsidRPr="00D62D9A">
              <w:rPr>
                <w:rStyle w:val="Emphasis"/>
              </w:rPr>
              <w:t xml:space="preserve">Note: measured in $000,000s over March tax years. Italicised values may be incomplete. See the appendix for further information on quantification methods. </w:t>
            </w:r>
          </w:p>
        </w:tc>
      </w:tr>
      <w:tr w:rsidR="00BB0CAC" w:rsidRPr="00B56B80" w14:paraId="2758FBEE" w14:textId="77777777" w:rsidTr="00FA1438">
        <w:trPr>
          <w:trHeight w:val="737"/>
        </w:trPr>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4C6993A4" w14:textId="77777777" w:rsidR="00BB0CAC" w:rsidRPr="008C1748" w:rsidRDefault="00BB0CAC" w:rsidP="000676D8">
            <w:pPr>
              <w:pStyle w:val="TableHeading"/>
            </w:pPr>
            <w:r w:rsidRPr="008C1748">
              <w:t>Appropriated spending through the tax system</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0951C642" w14:textId="77777777" w:rsidR="00BB0CAC" w:rsidRPr="008C1748" w:rsidRDefault="002928F4" w:rsidP="00FA1438">
            <w:pPr>
              <w:pStyle w:val="TableHeading"/>
              <w:jc w:val="right"/>
            </w:pPr>
            <w:r w:rsidRPr="008C1748">
              <w:t>Value of expenditure 2012/13</w:t>
            </w:r>
            <w:r w:rsidR="00BB0CAC" w:rsidRPr="008C1748">
              <w:t xml:space="preserve"> (actual)</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212F96FD" w14:textId="77777777" w:rsidR="00BB0CAC" w:rsidRPr="008C1748" w:rsidRDefault="00BB0CAC" w:rsidP="00FA1438">
            <w:pPr>
              <w:pStyle w:val="TableHeading"/>
              <w:jc w:val="right"/>
            </w:pPr>
            <w:r w:rsidRPr="008C1748">
              <w:t xml:space="preserve">Value of </w:t>
            </w:r>
            <w:r w:rsidR="002928F4" w:rsidRPr="008C1748">
              <w:t>expenditure 2013</w:t>
            </w:r>
            <w:r w:rsidRPr="008C1748">
              <w:t>/1</w:t>
            </w:r>
            <w:r w:rsidR="002928F4" w:rsidRPr="008C1748">
              <w:t>4</w:t>
            </w:r>
            <w:r w:rsidRPr="008C1748">
              <w:t xml:space="preserve"> (actual)</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39C0268D" w14:textId="77777777" w:rsidR="00BB0CAC" w:rsidRPr="008C1748" w:rsidRDefault="00BB0CAC" w:rsidP="00FA1438">
            <w:pPr>
              <w:pStyle w:val="TableHeading"/>
              <w:jc w:val="right"/>
            </w:pPr>
            <w:r w:rsidRPr="008C1748">
              <w:t>Value of expenditure 201</w:t>
            </w:r>
            <w:r w:rsidR="002928F4" w:rsidRPr="008C1748">
              <w:t>4/15</w:t>
            </w:r>
            <w:r w:rsidRPr="008C1748">
              <w:t xml:space="preserve"> (actual)</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1B93C35F" w14:textId="77777777" w:rsidR="00BB0CAC" w:rsidRPr="008C1748" w:rsidRDefault="00BB0CAC" w:rsidP="00FA1438">
            <w:pPr>
              <w:pStyle w:val="TableHeading"/>
              <w:jc w:val="right"/>
            </w:pPr>
            <w:r w:rsidRPr="008C1748">
              <w:t>V</w:t>
            </w:r>
            <w:r w:rsidR="002928F4" w:rsidRPr="008C1748">
              <w:t>alue of expenditure 2015/16</w:t>
            </w:r>
            <w:r w:rsidRPr="008C1748">
              <w:t xml:space="preserve"> (actual)</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0EBAC651" w14:textId="77777777" w:rsidR="00BB0CAC" w:rsidRPr="008C1748" w:rsidRDefault="00BB0CAC" w:rsidP="00FA1438">
            <w:pPr>
              <w:pStyle w:val="TableHeading"/>
              <w:jc w:val="right"/>
            </w:pPr>
            <w:r w:rsidRPr="008C1748">
              <w:t>Value of expenditure</w:t>
            </w:r>
          </w:p>
          <w:p w14:paraId="2E56CABF" w14:textId="77777777" w:rsidR="00BB0CAC" w:rsidRPr="008C1748" w:rsidRDefault="002928F4" w:rsidP="00FA1438">
            <w:pPr>
              <w:pStyle w:val="TableHeading"/>
              <w:jc w:val="right"/>
              <w:rPr>
                <w:i/>
              </w:rPr>
            </w:pPr>
            <w:r w:rsidRPr="008C1748">
              <w:t>2016/17</w:t>
            </w:r>
            <w:r w:rsidR="00BB0CAC" w:rsidRPr="008C1748">
              <w:t xml:space="preserve"> (actual)</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bottom"/>
          </w:tcPr>
          <w:p w14:paraId="52ACD980" w14:textId="77777777" w:rsidR="00BB0CAC" w:rsidRPr="008C1748" w:rsidRDefault="00BB0CAC" w:rsidP="00FA1438">
            <w:pPr>
              <w:pStyle w:val="TableHeading"/>
              <w:jc w:val="right"/>
            </w:pPr>
            <w:r w:rsidRPr="008C1748">
              <w:t>Value of expenditure</w:t>
            </w:r>
          </w:p>
          <w:p w14:paraId="4C20F4B7" w14:textId="77777777" w:rsidR="00BB0CAC" w:rsidRPr="008C1748" w:rsidRDefault="002928F4" w:rsidP="00FA1438">
            <w:pPr>
              <w:pStyle w:val="TableHeading"/>
              <w:jc w:val="right"/>
              <w:rPr>
                <w:i/>
              </w:rPr>
            </w:pPr>
            <w:r w:rsidRPr="008C1748">
              <w:t>2017/18</w:t>
            </w:r>
            <w:r w:rsidR="00BB0CAC" w:rsidRPr="008C1748">
              <w:t xml:space="preserve"> (forecast)</w:t>
            </w:r>
          </w:p>
        </w:tc>
      </w:tr>
      <w:tr w:rsidR="00BB0CAC" w:rsidRPr="00B56B80" w14:paraId="7474447B"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1BC59F12" w14:textId="77777777" w:rsidR="00BB0CAC" w:rsidRPr="00A75E64" w:rsidRDefault="00BB0CAC" w:rsidP="000676D8">
            <w:pPr>
              <w:pStyle w:val="TableText"/>
            </w:pPr>
            <w:r w:rsidRPr="00A75E64">
              <w:t>Child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7744591" w14:textId="77777777" w:rsidR="00BB0CAC" w:rsidRPr="00A75E64" w:rsidDel="004822FA" w:rsidRDefault="002928F4" w:rsidP="000676D8">
            <w:pPr>
              <w:pStyle w:val="TableText"/>
              <w:jc w:val="right"/>
              <w:rPr>
                <w:lang w:val="en-AU"/>
              </w:rPr>
            </w:pPr>
            <w:r>
              <w:rPr>
                <w:lang w:val="en-AU"/>
              </w:rPr>
              <w:t>1.7</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29D7EDB" w14:textId="77777777" w:rsidR="00BB0CAC" w:rsidRPr="00A75E64" w:rsidDel="004822FA" w:rsidRDefault="002928F4" w:rsidP="000676D8">
            <w:pPr>
              <w:pStyle w:val="TableText"/>
              <w:jc w:val="right"/>
              <w:rPr>
                <w:lang w:val="en-AU"/>
              </w:rPr>
            </w:pPr>
            <w:r>
              <w:rPr>
                <w:lang w:val="en-AU"/>
              </w:rPr>
              <w:t>1.8</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F184D5C" w14:textId="77777777" w:rsidR="00BB0CAC" w:rsidRPr="00A75E64" w:rsidDel="004822FA" w:rsidRDefault="002928F4" w:rsidP="000676D8">
            <w:pPr>
              <w:pStyle w:val="TableText"/>
              <w:jc w:val="right"/>
              <w:rPr>
                <w:lang w:val="en-AU"/>
              </w:rPr>
            </w:pPr>
            <w:r>
              <w:rPr>
                <w:lang w:val="en-AU"/>
              </w:rPr>
              <w:t>1.3</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25C85EF" w14:textId="77777777" w:rsidR="00BB0CAC" w:rsidRPr="00A75E64" w:rsidRDefault="002928F4" w:rsidP="000676D8">
            <w:pPr>
              <w:pStyle w:val="TableText"/>
              <w:jc w:val="right"/>
              <w:rPr>
                <w:lang w:val="en-AU"/>
              </w:rPr>
            </w:pPr>
            <w:r>
              <w:rPr>
                <w:lang w:val="en-AU"/>
              </w:rPr>
              <w:t>1.1</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28AEE8D" w14:textId="77777777" w:rsidR="00BB0CAC" w:rsidRPr="00A75E64" w:rsidRDefault="002928F4" w:rsidP="000676D8">
            <w:pPr>
              <w:pStyle w:val="TableText"/>
              <w:jc w:val="right"/>
              <w:rPr>
                <w:lang w:val="en-AU"/>
              </w:rPr>
            </w:pPr>
            <w:r>
              <w:rPr>
                <w:lang w:val="en-AU"/>
              </w:rPr>
              <w:t>0.9</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6EE7110" w14:textId="77777777" w:rsidR="00BB0CAC" w:rsidRPr="00A75E64" w:rsidRDefault="002928F4" w:rsidP="000676D8">
            <w:pPr>
              <w:pStyle w:val="TableText"/>
              <w:jc w:val="right"/>
              <w:rPr>
                <w:lang w:val="en-AU"/>
              </w:rPr>
            </w:pPr>
            <w:r>
              <w:rPr>
                <w:lang w:val="en-AU"/>
              </w:rPr>
              <w:t>0.8</w:t>
            </w:r>
          </w:p>
        </w:tc>
      </w:tr>
      <w:tr w:rsidR="00BB0CAC" w:rsidRPr="00B56B80" w14:paraId="4671C9A5"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B742270" w14:textId="77777777" w:rsidR="00BB0CAC" w:rsidRPr="00A75E64" w:rsidRDefault="00BB0CAC" w:rsidP="000676D8">
            <w:pPr>
              <w:pStyle w:val="TableText"/>
            </w:pPr>
            <w:r w:rsidRPr="00A75E64">
              <w:t>Family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159F0FD" w14:textId="41969C7F" w:rsidR="00BB0CAC" w:rsidRPr="00A75E64" w:rsidDel="004822FA" w:rsidRDefault="002928F4" w:rsidP="000676D8">
            <w:pPr>
              <w:pStyle w:val="TableText"/>
              <w:jc w:val="right"/>
              <w:rPr>
                <w:lang w:val="en-AU"/>
              </w:rPr>
            </w:pPr>
            <w:r>
              <w:rPr>
                <w:lang w:val="en-AU"/>
              </w:rPr>
              <w:t>2</w:t>
            </w:r>
            <w:r w:rsidR="00D46959">
              <w:rPr>
                <w:lang w:val="en-AU"/>
              </w:rPr>
              <w:t>,</w:t>
            </w:r>
            <w:r>
              <w:rPr>
                <w:lang w:val="en-AU"/>
              </w:rPr>
              <w:t>060</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27EECA2" w14:textId="49FE98D7" w:rsidR="00BB0CAC" w:rsidRPr="00A75E64" w:rsidDel="004822FA" w:rsidRDefault="002928F4" w:rsidP="000676D8">
            <w:pPr>
              <w:pStyle w:val="TableText"/>
              <w:jc w:val="right"/>
              <w:rPr>
                <w:lang w:val="en-AU"/>
              </w:rPr>
            </w:pPr>
            <w:r>
              <w:rPr>
                <w:lang w:val="en-AU"/>
              </w:rPr>
              <w:t>2</w:t>
            </w:r>
            <w:r w:rsidR="00D46959">
              <w:rPr>
                <w:lang w:val="en-AU"/>
              </w:rPr>
              <w:t>,</w:t>
            </w:r>
            <w:r>
              <w:rPr>
                <w:lang w:val="en-AU"/>
              </w:rPr>
              <w:t>015</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A48CAB6" w14:textId="473A4EBD" w:rsidR="00BB0CAC" w:rsidRPr="00A75E64" w:rsidDel="004822FA" w:rsidRDefault="002928F4" w:rsidP="000676D8">
            <w:pPr>
              <w:pStyle w:val="TableText"/>
              <w:jc w:val="right"/>
              <w:rPr>
                <w:lang w:val="en-AU"/>
              </w:rPr>
            </w:pPr>
            <w:r>
              <w:rPr>
                <w:lang w:val="en-AU"/>
              </w:rPr>
              <w:t>2</w:t>
            </w:r>
            <w:r w:rsidR="00D46959">
              <w:rPr>
                <w:lang w:val="en-AU"/>
              </w:rPr>
              <w:t>,</w:t>
            </w:r>
            <w:r>
              <w:rPr>
                <w:lang w:val="en-AU"/>
              </w:rPr>
              <w:t>006</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45956303" w14:textId="22EB9250" w:rsidR="00BB0CAC" w:rsidRPr="00A75E64" w:rsidRDefault="002928F4" w:rsidP="000676D8">
            <w:pPr>
              <w:pStyle w:val="TableText"/>
              <w:jc w:val="right"/>
              <w:rPr>
                <w:lang w:val="en-AU"/>
              </w:rPr>
            </w:pPr>
            <w:r>
              <w:rPr>
                <w:lang w:val="en-AU"/>
              </w:rPr>
              <w:t>1</w:t>
            </w:r>
            <w:r w:rsidR="00D46959">
              <w:rPr>
                <w:lang w:val="en-AU"/>
              </w:rPr>
              <w:t>,</w:t>
            </w:r>
            <w:r>
              <w:rPr>
                <w:lang w:val="en-AU"/>
              </w:rPr>
              <w:t>793</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0F043B17" w14:textId="4258BEE2" w:rsidR="00BB0CAC" w:rsidRPr="00A75E64" w:rsidRDefault="002928F4" w:rsidP="000676D8">
            <w:pPr>
              <w:pStyle w:val="TableText"/>
              <w:jc w:val="right"/>
              <w:rPr>
                <w:lang w:val="en-AU"/>
              </w:rPr>
            </w:pPr>
            <w:r>
              <w:rPr>
                <w:lang w:val="en-AU"/>
              </w:rPr>
              <w:t>1</w:t>
            </w:r>
            <w:r w:rsidR="00D46959">
              <w:rPr>
                <w:lang w:val="en-AU"/>
              </w:rPr>
              <w:t>,</w:t>
            </w:r>
            <w:r>
              <w:rPr>
                <w:lang w:val="en-AU"/>
              </w:rPr>
              <w:t>723</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05BA265" w14:textId="619FCA4D" w:rsidR="00BB0CAC" w:rsidRPr="00A75E64" w:rsidRDefault="002928F4" w:rsidP="000676D8">
            <w:pPr>
              <w:pStyle w:val="TableText"/>
              <w:jc w:val="right"/>
              <w:rPr>
                <w:lang w:val="en-AU"/>
              </w:rPr>
            </w:pPr>
            <w:r>
              <w:rPr>
                <w:lang w:val="en-AU"/>
              </w:rPr>
              <w:t>1</w:t>
            </w:r>
            <w:r w:rsidR="00D46959">
              <w:rPr>
                <w:lang w:val="en-AU"/>
              </w:rPr>
              <w:t>,</w:t>
            </w:r>
            <w:r>
              <w:rPr>
                <w:lang w:val="en-AU"/>
              </w:rPr>
              <w:t>696</w:t>
            </w:r>
          </w:p>
        </w:tc>
      </w:tr>
      <w:tr w:rsidR="00BB0CAC" w:rsidRPr="00B56B80" w14:paraId="77830ABA"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16518753" w14:textId="77777777" w:rsidR="00BB0CAC" w:rsidRPr="00A75E64" w:rsidRDefault="00BB0CAC" w:rsidP="000676D8">
            <w:pPr>
              <w:pStyle w:val="TableText"/>
            </w:pPr>
            <w:r w:rsidRPr="00A75E64">
              <w:t>In-work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0C14076" w14:textId="77777777" w:rsidR="00BB0CAC" w:rsidRPr="00A75E64" w:rsidDel="004822FA" w:rsidRDefault="002928F4" w:rsidP="000676D8">
            <w:pPr>
              <w:pStyle w:val="TableText"/>
              <w:jc w:val="right"/>
              <w:rPr>
                <w:lang w:val="en-AU"/>
              </w:rPr>
            </w:pPr>
            <w:r>
              <w:rPr>
                <w:lang w:val="en-AU"/>
              </w:rPr>
              <w:t>545</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0D2C962" w14:textId="77777777" w:rsidR="00BB0CAC" w:rsidRPr="00A75E64" w:rsidDel="004822FA" w:rsidRDefault="002928F4" w:rsidP="000676D8">
            <w:pPr>
              <w:pStyle w:val="TableText"/>
              <w:jc w:val="right"/>
              <w:rPr>
                <w:lang w:val="en-AU"/>
              </w:rPr>
            </w:pPr>
            <w:r>
              <w:rPr>
                <w:lang w:val="en-AU"/>
              </w:rPr>
              <w:t>533</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1847843" w14:textId="77777777" w:rsidR="00BB0CAC" w:rsidRPr="00A75E64" w:rsidDel="004822FA" w:rsidRDefault="002928F4" w:rsidP="000676D8">
            <w:pPr>
              <w:pStyle w:val="TableText"/>
              <w:jc w:val="right"/>
              <w:rPr>
                <w:lang w:val="en-AU"/>
              </w:rPr>
            </w:pPr>
            <w:r>
              <w:rPr>
                <w:lang w:val="en-AU"/>
              </w:rPr>
              <w:t>511</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2067D00" w14:textId="77777777" w:rsidR="00BB0CAC" w:rsidRPr="00A75E64" w:rsidRDefault="002928F4" w:rsidP="000676D8">
            <w:pPr>
              <w:pStyle w:val="TableText"/>
              <w:jc w:val="right"/>
              <w:rPr>
                <w:lang w:val="en-AU"/>
              </w:rPr>
            </w:pPr>
            <w:r>
              <w:rPr>
                <w:lang w:val="en-AU"/>
              </w:rPr>
              <w:t>513</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2DF660F6" w14:textId="77777777" w:rsidR="00BB0CAC" w:rsidRPr="00A75E64" w:rsidRDefault="002928F4" w:rsidP="000676D8">
            <w:pPr>
              <w:pStyle w:val="TableText"/>
              <w:jc w:val="right"/>
              <w:rPr>
                <w:lang w:val="en-AU"/>
              </w:rPr>
            </w:pPr>
            <w:r>
              <w:rPr>
                <w:lang w:val="en-AU"/>
              </w:rPr>
              <w:t>548</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5FF28FC9" w14:textId="77777777" w:rsidR="00BB0CAC" w:rsidRPr="00A75E64" w:rsidRDefault="002928F4" w:rsidP="000676D8">
            <w:pPr>
              <w:pStyle w:val="TableText"/>
              <w:jc w:val="right"/>
              <w:rPr>
                <w:lang w:val="en-AU"/>
              </w:rPr>
            </w:pPr>
            <w:r>
              <w:rPr>
                <w:lang w:val="en-AU"/>
              </w:rPr>
              <w:t>532</w:t>
            </w:r>
          </w:p>
        </w:tc>
      </w:tr>
      <w:tr w:rsidR="00BB0CAC" w:rsidRPr="00B56B80" w14:paraId="1ACF5C01"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793F734F" w14:textId="77777777" w:rsidR="00BB0CAC" w:rsidRPr="00A75E64" w:rsidRDefault="00BB0CAC" w:rsidP="000676D8">
            <w:pPr>
              <w:pStyle w:val="TableText"/>
            </w:pPr>
            <w:proofErr w:type="spellStart"/>
            <w:r w:rsidRPr="00A75E64">
              <w:t>KiwiSaver</w:t>
            </w:r>
            <w:proofErr w:type="spellEnd"/>
            <w:r w:rsidRPr="00A75E64">
              <w:t xml:space="preserve">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23793B7" w14:textId="77777777" w:rsidR="00BB0CAC" w:rsidRPr="00A75E64" w:rsidDel="004822FA" w:rsidRDefault="002928F4" w:rsidP="000676D8">
            <w:pPr>
              <w:pStyle w:val="TableText"/>
              <w:jc w:val="right"/>
              <w:rPr>
                <w:lang w:val="en-AU"/>
              </w:rPr>
            </w:pPr>
            <w:r>
              <w:rPr>
                <w:lang w:val="en-AU"/>
              </w:rPr>
              <w:t>723</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92A8A40" w14:textId="77777777" w:rsidR="00BB0CAC" w:rsidRPr="00A75E64" w:rsidDel="004822FA" w:rsidRDefault="002928F4" w:rsidP="000676D8">
            <w:pPr>
              <w:pStyle w:val="TableText"/>
              <w:jc w:val="right"/>
              <w:rPr>
                <w:lang w:val="en-AU"/>
              </w:rPr>
            </w:pPr>
            <w:r>
              <w:rPr>
                <w:lang w:val="en-AU"/>
              </w:rPr>
              <w:t>804</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006B0FC" w14:textId="77777777" w:rsidR="00BB0CAC" w:rsidRPr="00A75E64" w:rsidDel="004822FA" w:rsidRDefault="002928F4" w:rsidP="000676D8">
            <w:pPr>
              <w:pStyle w:val="TableText"/>
              <w:jc w:val="right"/>
              <w:rPr>
                <w:lang w:val="en-AU"/>
              </w:rPr>
            </w:pPr>
            <w:r>
              <w:rPr>
                <w:lang w:val="en-AU"/>
              </w:rPr>
              <w:t>855</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4BC09793" w14:textId="77777777" w:rsidR="00BB0CAC" w:rsidRPr="00A75E64" w:rsidRDefault="002928F4" w:rsidP="000676D8">
            <w:pPr>
              <w:pStyle w:val="TableText"/>
              <w:jc w:val="right"/>
              <w:rPr>
                <w:lang w:val="en-AU"/>
              </w:rPr>
            </w:pPr>
            <w:r>
              <w:rPr>
                <w:lang w:val="en-AU"/>
              </w:rPr>
              <w:t>698</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683CF20" w14:textId="77777777" w:rsidR="00BB0CAC" w:rsidRPr="00A75E64" w:rsidRDefault="002928F4" w:rsidP="000676D8">
            <w:pPr>
              <w:pStyle w:val="TableText"/>
              <w:jc w:val="right"/>
              <w:rPr>
                <w:lang w:val="en-AU"/>
              </w:rPr>
            </w:pPr>
            <w:r>
              <w:rPr>
                <w:lang w:val="en-AU"/>
              </w:rPr>
              <w:t>743</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9ADC79A" w14:textId="77777777" w:rsidR="00BB0CAC" w:rsidRPr="00A75E64" w:rsidRDefault="002928F4" w:rsidP="000676D8">
            <w:pPr>
              <w:pStyle w:val="TableText"/>
              <w:jc w:val="right"/>
              <w:rPr>
                <w:lang w:val="en-AU"/>
              </w:rPr>
            </w:pPr>
            <w:r>
              <w:rPr>
                <w:lang w:val="en-AU"/>
              </w:rPr>
              <w:t>830</w:t>
            </w:r>
          </w:p>
        </w:tc>
      </w:tr>
      <w:tr w:rsidR="00BB0CAC" w:rsidRPr="00B56B80" w14:paraId="436404E2"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0094BFC" w14:textId="77777777" w:rsidR="00BB0CAC" w:rsidRPr="00A75E64" w:rsidRDefault="00BB0CAC" w:rsidP="000676D8">
            <w:pPr>
              <w:pStyle w:val="TableText"/>
            </w:pPr>
            <w:r w:rsidRPr="00A75E64">
              <w:t>Parental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FB4D02D" w14:textId="77777777" w:rsidR="00BB0CAC" w:rsidRPr="00A75E64" w:rsidDel="004822FA" w:rsidRDefault="002928F4" w:rsidP="000676D8">
            <w:pPr>
              <w:pStyle w:val="TableText"/>
              <w:jc w:val="right"/>
              <w:rPr>
                <w:lang w:val="en-AU"/>
              </w:rPr>
            </w:pPr>
            <w:r>
              <w:rPr>
                <w:lang w:val="en-AU"/>
              </w:rPr>
              <w:t>17</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6A308B7" w14:textId="77777777" w:rsidR="00BB0CAC" w:rsidRPr="00A75E64" w:rsidDel="004822FA" w:rsidRDefault="002928F4" w:rsidP="000676D8">
            <w:pPr>
              <w:pStyle w:val="TableText"/>
              <w:jc w:val="right"/>
              <w:rPr>
                <w:lang w:val="en-AU"/>
              </w:rPr>
            </w:pPr>
            <w:r>
              <w:rPr>
                <w:lang w:val="en-AU"/>
              </w:rPr>
              <w:t>18</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792416D" w14:textId="77777777" w:rsidR="00BB0CAC" w:rsidRPr="00A75E64" w:rsidDel="004822FA" w:rsidRDefault="002928F4" w:rsidP="000676D8">
            <w:pPr>
              <w:pStyle w:val="TableText"/>
              <w:jc w:val="right"/>
              <w:rPr>
                <w:lang w:val="en-AU"/>
              </w:rPr>
            </w:pPr>
            <w:r>
              <w:rPr>
                <w:lang w:val="en-AU"/>
              </w:rPr>
              <w:t>21</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70E4D0A1" w14:textId="77777777" w:rsidR="00BB0CAC" w:rsidRPr="00A75E64" w:rsidRDefault="002928F4" w:rsidP="000676D8">
            <w:pPr>
              <w:pStyle w:val="TableText"/>
              <w:jc w:val="right"/>
              <w:rPr>
                <w:lang w:val="en-AU"/>
              </w:rPr>
            </w:pPr>
            <w:r>
              <w:rPr>
                <w:lang w:val="en-AU"/>
              </w:rPr>
              <w:t>31</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1524AF1F" w14:textId="77777777" w:rsidR="00BB0CAC" w:rsidRPr="00A75E64" w:rsidRDefault="002928F4" w:rsidP="000676D8">
            <w:pPr>
              <w:pStyle w:val="TableText"/>
              <w:jc w:val="right"/>
              <w:rPr>
                <w:lang w:val="en-AU"/>
              </w:rPr>
            </w:pPr>
            <w:r>
              <w:rPr>
                <w:lang w:val="en-AU"/>
              </w:rPr>
              <w:t>30</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B5EEAD7" w14:textId="77777777" w:rsidR="00BB0CAC" w:rsidRPr="00A75E64" w:rsidRDefault="002928F4" w:rsidP="000676D8">
            <w:pPr>
              <w:pStyle w:val="TableText"/>
              <w:jc w:val="right"/>
              <w:rPr>
                <w:lang w:val="en-AU"/>
              </w:rPr>
            </w:pPr>
            <w:r>
              <w:rPr>
                <w:lang w:val="en-AU"/>
              </w:rPr>
              <w:t>29</w:t>
            </w:r>
          </w:p>
        </w:tc>
      </w:tr>
      <w:tr w:rsidR="00BB0CAC" w:rsidRPr="00B56B80" w14:paraId="5D011241"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6F1C3694" w14:textId="77777777" w:rsidR="00BB0CAC" w:rsidRPr="00A75E64" w:rsidRDefault="00BB0CAC" w:rsidP="000676D8">
            <w:pPr>
              <w:pStyle w:val="TableText"/>
            </w:pPr>
            <w:r w:rsidRPr="00A75E64">
              <w:t>Minimum Family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2866BBDC" w14:textId="77777777" w:rsidR="00BB0CAC" w:rsidRPr="00A75E64" w:rsidDel="004822FA" w:rsidRDefault="002928F4" w:rsidP="000676D8">
            <w:pPr>
              <w:pStyle w:val="TableText"/>
              <w:jc w:val="right"/>
              <w:rPr>
                <w:lang w:val="en-AU"/>
              </w:rPr>
            </w:pPr>
            <w:r>
              <w:rPr>
                <w:lang w:val="en-AU"/>
              </w:rPr>
              <w:t>12</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0841B693" w14:textId="77777777" w:rsidR="00BB0CAC" w:rsidRPr="00A75E64" w:rsidDel="004822FA" w:rsidRDefault="002928F4" w:rsidP="000676D8">
            <w:pPr>
              <w:pStyle w:val="TableText"/>
              <w:jc w:val="right"/>
              <w:rPr>
                <w:lang w:val="en-AU"/>
              </w:rPr>
            </w:pPr>
            <w:r>
              <w:rPr>
                <w:lang w:val="en-AU"/>
              </w:rPr>
              <w:t>14</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5C05DC19" w14:textId="77777777" w:rsidR="00BB0CAC" w:rsidRPr="00A75E64" w:rsidDel="004822FA" w:rsidRDefault="002928F4" w:rsidP="000676D8">
            <w:pPr>
              <w:pStyle w:val="TableText"/>
              <w:jc w:val="right"/>
              <w:rPr>
                <w:lang w:val="en-AU"/>
              </w:rPr>
            </w:pPr>
            <w:r>
              <w:rPr>
                <w:lang w:val="en-AU"/>
              </w:rPr>
              <w:t>16</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67D99BD9" w14:textId="77777777" w:rsidR="00BB0CAC" w:rsidRPr="00A75E64" w:rsidRDefault="002928F4" w:rsidP="000676D8">
            <w:pPr>
              <w:pStyle w:val="TableText"/>
              <w:jc w:val="right"/>
              <w:rPr>
                <w:lang w:val="en-AU"/>
              </w:rPr>
            </w:pPr>
            <w:r>
              <w:rPr>
                <w:lang w:val="en-AU"/>
              </w:rPr>
              <w:t>14</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223CBBD6" w14:textId="77777777" w:rsidR="00BB0CAC" w:rsidRPr="00A75E64" w:rsidRDefault="002928F4" w:rsidP="000676D8">
            <w:pPr>
              <w:pStyle w:val="TableText"/>
              <w:jc w:val="right"/>
              <w:rPr>
                <w:lang w:val="en-AU"/>
              </w:rPr>
            </w:pPr>
            <w:r>
              <w:rPr>
                <w:lang w:val="en-AU"/>
              </w:rPr>
              <w:t>13</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0EFEB8B8" w14:textId="77777777" w:rsidR="00BB0CAC" w:rsidRPr="00A75E64" w:rsidRDefault="002928F4" w:rsidP="000676D8">
            <w:pPr>
              <w:pStyle w:val="TableText"/>
              <w:jc w:val="right"/>
              <w:rPr>
                <w:lang w:val="en-AU"/>
              </w:rPr>
            </w:pPr>
            <w:r>
              <w:rPr>
                <w:lang w:val="en-AU"/>
              </w:rPr>
              <w:t>12</w:t>
            </w:r>
          </w:p>
        </w:tc>
      </w:tr>
      <w:tr w:rsidR="002928F4" w:rsidRPr="00B56B80" w14:paraId="71AFEA6F" w14:textId="77777777" w:rsidTr="008C1748">
        <w:tc>
          <w:tcPr>
            <w:tcW w:w="234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0D263649" w14:textId="77777777" w:rsidR="002928F4" w:rsidRPr="00A75E64" w:rsidRDefault="002928F4" w:rsidP="000676D8">
            <w:pPr>
              <w:pStyle w:val="TableText"/>
            </w:pPr>
            <w:r>
              <w:t>Best Start tax credit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0DFD4CDD" w14:textId="77777777" w:rsidR="002928F4" w:rsidRDefault="002928F4" w:rsidP="000676D8">
            <w:pPr>
              <w:pStyle w:val="TableText"/>
              <w:jc w:val="right"/>
              <w:rPr>
                <w:lang w:val="en-AU"/>
              </w:rPr>
            </w:pPr>
            <w:r>
              <w:rPr>
                <w:lang w:val="en-AU"/>
              </w:rPr>
              <w:t>-</w:t>
            </w:r>
          </w:p>
        </w:tc>
        <w:tc>
          <w:tcPr>
            <w:tcW w:w="170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497A728E" w14:textId="77777777" w:rsidR="002928F4" w:rsidRDefault="002928F4" w:rsidP="000676D8">
            <w:pPr>
              <w:pStyle w:val="TableText"/>
              <w:jc w:val="right"/>
              <w:rPr>
                <w:lang w:val="en-AU"/>
              </w:rPr>
            </w:pPr>
            <w:r>
              <w:rPr>
                <w:lang w:val="en-AU"/>
              </w:rPr>
              <w:t>-</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79899B3B" w14:textId="77777777" w:rsidR="002928F4" w:rsidRDefault="002928F4" w:rsidP="000676D8">
            <w:pPr>
              <w:pStyle w:val="TableText"/>
              <w:jc w:val="right"/>
              <w:rPr>
                <w:lang w:val="en-AU"/>
              </w:rPr>
            </w:pPr>
            <w:r>
              <w:rPr>
                <w:lang w:val="en-AU"/>
              </w:rPr>
              <w:t>-</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2F152AFC" w14:textId="77777777" w:rsidR="002928F4" w:rsidRDefault="002928F4" w:rsidP="000676D8">
            <w:pPr>
              <w:pStyle w:val="TableText"/>
              <w:jc w:val="right"/>
              <w:rPr>
                <w:lang w:val="en-AU"/>
              </w:rPr>
            </w:pPr>
            <w:r>
              <w:rPr>
                <w:lang w:val="en-AU"/>
              </w:rPr>
              <w:t>-</w:t>
            </w:r>
          </w:p>
        </w:tc>
        <w:tc>
          <w:tcPr>
            <w:tcW w:w="225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5A1EC576" w14:textId="77777777" w:rsidR="002928F4" w:rsidRDefault="002928F4" w:rsidP="000676D8">
            <w:pPr>
              <w:pStyle w:val="TableText"/>
              <w:jc w:val="right"/>
              <w:rPr>
                <w:lang w:val="en-AU"/>
              </w:rPr>
            </w:pPr>
            <w:r>
              <w:rPr>
                <w:lang w:val="en-AU"/>
              </w:rPr>
              <w:t>-</w:t>
            </w:r>
          </w:p>
        </w:tc>
        <w:tc>
          <w:tcPr>
            <w:tcW w:w="1755"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bottom"/>
          </w:tcPr>
          <w:p w14:paraId="698A1762" w14:textId="77777777" w:rsidR="002928F4" w:rsidRDefault="002928F4" w:rsidP="000676D8">
            <w:pPr>
              <w:pStyle w:val="TableText"/>
              <w:jc w:val="right"/>
              <w:rPr>
                <w:lang w:val="en-AU"/>
              </w:rPr>
            </w:pPr>
            <w:r>
              <w:rPr>
                <w:lang w:val="en-AU"/>
              </w:rPr>
              <w:t>-</w:t>
            </w:r>
          </w:p>
        </w:tc>
      </w:tr>
      <w:tr w:rsidR="00BB0CAC" w:rsidRPr="00D62D9A" w14:paraId="0FE66E01" w14:textId="77777777" w:rsidTr="008C1748">
        <w:tc>
          <w:tcPr>
            <w:tcW w:w="14252" w:type="dxa"/>
            <w:gridSpan w:val="10"/>
            <w:tcBorders>
              <w:top w:val="single" w:sz="2" w:space="0" w:color="808080" w:themeColor="background1" w:themeShade="80"/>
              <w:left w:val="nil"/>
              <w:bottom w:val="nil"/>
              <w:right w:val="nil"/>
            </w:tcBorders>
            <w:vAlign w:val="bottom"/>
          </w:tcPr>
          <w:p w14:paraId="04C18A61" w14:textId="1AB2BC1F" w:rsidR="00BB0CAC" w:rsidRPr="00D62D9A" w:rsidDel="004822FA" w:rsidRDefault="00BB0CAC" w:rsidP="008C1748">
            <w:pPr>
              <w:pStyle w:val="TableText"/>
              <w:spacing w:before="120"/>
              <w:rPr>
                <w:rStyle w:val="Emphasis"/>
              </w:rPr>
            </w:pPr>
            <w:r w:rsidRPr="00D62D9A">
              <w:rPr>
                <w:rStyle w:val="Emphasis"/>
              </w:rPr>
              <w:t xml:space="preserve">Note: These credits are appropriated and are measured in $000,000s over </w:t>
            </w:r>
            <w:r w:rsidR="00075688">
              <w:rPr>
                <w:rStyle w:val="Emphasis"/>
              </w:rPr>
              <w:t>fiscal</w:t>
            </w:r>
            <w:r w:rsidRPr="00D62D9A">
              <w:rPr>
                <w:rStyle w:val="Emphasis"/>
              </w:rPr>
              <w:t xml:space="preserve"> years.</w:t>
            </w:r>
          </w:p>
        </w:tc>
      </w:tr>
    </w:tbl>
    <w:p w14:paraId="1616C9C6" w14:textId="77777777" w:rsidR="00BB0CAC" w:rsidRDefault="00BB0CAC" w:rsidP="00BB0CAC">
      <w:pPr>
        <w:sectPr w:rsidR="00BB0CAC" w:rsidSect="000676D8">
          <w:headerReference w:type="default" r:id="rId14"/>
          <w:footerReference w:type="default" r:id="rId15"/>
          <w:headerReference w:type="first" r:id="rId16"/>
          <w:footerReference w:type="first" r:id="rId17"/>
          <w:pgSz w:w="16838" w:h="11906" w:orient="landscape"/>
          <w:pgMar w:top="1701" w:right="1418" w:bottom="851" w:left="1418" w:header="567" w:footer="567" w:gutter="0"/>
          <w:cols w:space="708"/>
          <w:titlePg/>
          <w:docGrid w:linePitch="360"/>
        </w:sectPr>
      </w:pPr>
    </w:p>
    <w:bookmarkEnd w:id="3"/>
    <w:bookmarkEnd w:id="4"/>
    <w:bookmarkEnd w:id="5"/>
    <w:bookmarkEnd w:id="7"/>
    <w:bookmarkEnd w:id="8"/>
    <w:p w14:paraId="03476742" w14:textId="77777777" w:rsidR="00BB0CAC" w:rsidRPr="00D66F4C" w:rsidRDefault="00BB0CAC" w:rsidP="002323CD">
      <w:pPr>
        <w:pStyle w:val="Heading3"/>
      </w:pPr>
      <w:r w:rsidRPr="00D66F4C">
        <w:lastRenderedPageBreak/>
        <w:t>Tax Expenditures Categorisation</w:t>
      </w:r>
    </w:p>
    <w:p w14:paraId="6550F689" w14:textId="77777777" w:rsidR="00BB0CAC" w:rsidRPr="004F7307" w:rsidRDefault="00BB0CAC" w:rsidP="00BB0CAC">
      <w:pPr>
        <w:jc w:val="left"/>
        <w:rPr>
          <w:rFonts w:cs="Arial"/>
          <w:szCs w:val="22"/>
        </w:rPr>
      </w:pPr>
      <w:r w:rsidRPr="004F7307">
        <w:rPr>
          <w:rFonts w:cs="Arial"/>
          <w:szCs w:val="22"/>
        </w:rPr>
        <w:t xml:space="preserve">In the </w:t>
      </w:r>
      <w:r w:rsidRPr="00F0788F">
        <w:rPr>
          <w:rFonts w:cs="Arial"/>
          <w:szCs w:val="22"/>
        </w:rPr>
        <w:t>tables</w:t>
      </w:r>
      <w:r w:rsidRPr="004F7307">
        <w:rPr>
          <w:rFonts w:cs="Arial"/>
          <w:szCs w:val="22"/>
        </w:rPr>
        <w:t xml:space="preserve"> that follow, tax expenditures</w:t>
      </w:r>
      <w:r>
        <w:rPr>
          <w:rFonts w:cs="Arial"/>
          <w:szCs w:val="22"/>
        </w:rPr>
        <w:t xml:space="preserve"> and appropriated spending</w:t>
      </w:r>
      <w:r w:rsidRPr="004F7307">
        <w:rPr>
          <w:rFonts w:cs="Arial"/>
          <w:szCs w:val="22"/>
        </w:rPr>
        <w:t xml:space="preserve"> are categorised by </w:t>
      </w:r>
      <w:r w:rsidRPr="004F7307">
        <w:rPr>
          <w:rFonts w:cs="Arial"/>
          <w:i/>
          <w:szCs w:val="22"/>
        </w:rPr>
        <w:t>Type</w:t>
      </w:r>
      <w:r w:rsidRPr="004F7307">
        <w:rPr>
          <w:rFonts w:cs="Arial"/>
          <w:szCs w:val="22"/>
        </w:rPr>
        <w:t xml:space="preserve"> and </w:t>
      </w:r>
      <w:r w:rsidRPr="004F7307">
        <w:rPr>
          <w:rFonts w:cs="Arial"/>
          <w:i/>
          <w:szCs w:val="22"/>
        </w:rPr>
        <w:t>Impact</w:t>
      </w:r>
      <w:r w:rsidRPr="004F7307">
        <w:rPr>
          <w:rFonts w:cs="Arial"/>
          <w:szCs w:val="22"/>
        </w:rPr>
        <w:t xml:space="preserve">. </w:t>
      </w:r>
    </w:p>
    <w:p w14:paraId="6E0EE260" w14:textId="77777777" w:rsidR="00BB0CAC" w:rsidRDefault="00BB0CAC" w:rsidP="00BB0CAC">
      <w:pPr>
        <w:pStyle w:val="Heading4"/>
      </w:pPr>
      <w:r w:rsidRPr="004F7307">
        <w:t>Notes on Categorisation</w:t>
      </w:r>
    </w:p>
    <w:p w14:paraId="4C0F7057" w14:textId="77777777" w:rsidR="00BB0CAC" w:rsidRPr="004F7307" w:rsidRDefault="00BB0CAC" w:rsidP="00BB0CAC">
      <w:pPr>
        <w:jc w:val="left"/>
        <w:rPr>
          <w:rFonts w:cs="Arial"/>
          <w:szCs w:val="22"/>
        </w:rPr>
      </w:pPr>
      <w:r>
        <w:rPr>
          <w:rFonts w:cs="Arial"/>
          <w:szCs w:val="22"/>
        </w:rPr>
        <w:t>In this statement</w:t>
      </w:r>
      <w:r w:rsidRPr="004F7307">
        <w:rPr>
          <w:rFonts w:cs="Arial"/>
          <w:szCs w:val="22"/>
        </w:rPr>
        <w:t xml:space="preserve"> there are three </w:t>
      </w:r>
      <w:r w:rsidRPr="004F7307">
        <w:rPr>
          <w:rFonts w:cs="Arial"/>
          <w:i/>
          <w:szCs w:val="22"/>
        </w:rPr>
        <w:t>types</w:t>
      </w:r>
      <w:r w:rsidRPr="004F7307">
        <w:rPr>
          <w:rFonts w:cs="Arial"/>
          <w:szCs w:val="22"/>
        </w:rPr>
        <w:t xml:space="preserve"> of tax expenditures:</w:t>
      </w:r>
    </w:p>
    <w:p w14:paraId="07559000" w14:textId="77777777" w:rsidR="00BB0CAC" w:rsidRDefault="00BB0CAC" w:rsidP="00F67768">
      <w:pPr>
        <w:numPr>
          <w:ilvl w:val="0"/>
          <w:numId w:val="19"/>
        </w:numPr>
        <w:spacing w:after="120"/>
        <w:ind w:left="284" w:hanging="284"/>
        <w:jc w:val="left"/>
      </w:pPr>
      <w:r w:rsidRPr="003A6475">
        <w:rPr>
          <w:b/>
        </w:rPr>
        <w:t>Social:</w:t>
      </w:r>
      <w:r w:rsidRPr="004F7307">
        <w:t xml:space="preserve"> Tax expenditures that are introduced with the purpose of achieving certain social policy objectives. These can be either appropriated spending – such as the </w:t>
      </w:r>
      <w:r w:rsidRPr="003A6475">
        <w:rPr>
          <w:i/>
        </w:rPr>
        <w:t>Working for Families</w:t>
      </w:r>
      <w:r w:rsidRPr="004F7307">
        <w:t xml:space="preserve"> tax credits – or income exemptions or deductions such as the Charities tax credit or the deduction for M</w:t>
      </w:r>
      <w:r w:rsidRPr="00915628">
        <w:rPr>
          <w:bCs/>
        </w:rPr>
        <w:t>ā</w:t>
      </w:r>
      <w:r w:rsidRPr="004F7307">
        <w:t xml:space="preserve">ori Authority donations. </w:t>
      </w:r>
    </w:p>
    <w:p w14:paraId="78821408" w14:textId="77777777" w:rsidR="00BB0CAC" w:rsidRPr="004F7307" w:rsidRDefault="00BB0CAC" w:rsidP="00F67768">
      <w:pPr>
        <w:numPr>
          <w:ilvl w:val="0"/>
          <w:numId w:val="19"/>
        </w:numPr>
        <w:ind w:left="284" w:hanging="284"/>
        <w:jc w:val="left"/>
      </w:pPr>
      <w:r w:rsidRPr="003A6475">
        <w:rPr>
          <w:b/>
        </w:rPr>
        <w:t>Business:</w:t>
      </w:r>
      <w:r w:rsidRPr="004F7307">
        <w:t xml:space="preserve"> Tax expenditures that are aimed at incentivising certain types of business or commercial activities in order to meet explicit or implicit economic policy objectives. Some examples include: income exemption for bodies promoting scientific or industrial research, or the deduction for petroleum mining expenditure.</w:t>
      </w:r>
    </w:p>
    <w:p w14:paraId="3147746A" w14:textId="77777777" w:rsidR="00BB0CAC" w:rsidRPr="00132C99" w:rsidRDefault="00BB0CAC" w:rsidP="00F67768">
      <w:pPr>
        <w:numPr>
          <w:ilvl w:val="0"/>
          <w:numId w:val="19"/>
        </w:numPr>
        <w:ind w:left="284" w:hanging="284"/>
        <w:jc w:val="left"/>
      </w:pPr>
      <w:r w:rsidRPr="003A6475">
        <w:rPr>
          <w:b/>
        </w:rPr>
        <w:t>Other:</w:t>
      </w:r>
      <w:r w:rsidRPr="004F7307">
        <w:t xml:space="preserve"> Tax expenditures that are not expressly introduced to achieve social or </w:t>
      </w:r>
      <w:r>
        <w:t xml:space="preserve">business </w:t>
      </w:r>
      <w:r w:rsidRPr="004F7307">
        <w:t xml:space="preserve">economic policy objectives. An example is the tax exemption for the </w:t>
      </w:r>
      <w:r>
        <w:t>allowances</w:t>
      </w:r>
      <w:r w:rsidRPr="004F7307">
        <w:t xml:space="preserve"> of the Governor General.   </w:t>
      </w:r>
    </w:p>
    <w:p w14:paraId="1D49C394" w14:textId="77777777" w:rsidR="00BB0CAC" w:rsidRDefault="00BB0CAC" w:rsidP="00F67768">
      <w:pPr>
        <w:jc w:val="left"/>
      </w:pPr>
      <w:r w:rsidRPr="004F7307">
        <w:t xml:space="preserve">Tax expenditures are also categorised by their </w:t>
      </w:r>
      <w:r w:rsidRPr="004F7307">
        <w:rPr>
          <w:i/>
        </w:rPr>
        <w:t>impact</w:t>
      </w:r>
      <w:r w:rsidRPr="004F7307">
        <w:t xml:space="preserve">. That is, whether their effect on the current tax base results from </w:t>
      </w:r>
      <w:r w:rsidRPr="00BF579E">
        <w:rPr>
          <w:i/>
        </w:rPr>
        <w:t>historic</w:t>
      </w:r>
      <w:r w:rsidRPr="004F7307">
        <w:t xml:space="preserve"> policy settings</w:t>
      </w:r>
      <w:r>
        <w:t>,</w:t>
      </w:r>
      <w:r w:rsidRPr="004F7307">
        <w:t xml:space="preserve"> and/or whether they </w:t>
      </w:r>
      <w:r>
        <w:t xml:space="preserve">are </w:t>
      </w:r>
      <w:r w:rsidRPr="00BF579E">
        <w:rPr>
          <w:i/>
        </w:rPr>
        <w:t>permanent</w:t>
      </w:r>
      <w:r>
        <w:t>, that is subject to no future reversal,</w:t>
      </w:r>
      <w:r w:rsidRPr="004F7307">
        <w:t xml:space="preserve"> or that they </w:t>
      </w:r>
      <w:r>
        <w:t xml:space="preserve">facilitate </w:t>
      </w:r>
      <w:r w:rsidRPr="00BF579E">
        <w:rPr>
          <w:i/>
        </w:rPr>
        <w:t>timing</w:t>
      </w:r>
      <w:r>
        <w:t xml:space="preserve"> changes which reverse in the future</w:t>
      </w:r>
      <w:r w:rsidRPr="004F7307">
        <w:t xml:space="preserve">. Detailed definitions of these </w:t>
      </w:r>
      <w:r w:rsidRPr="004F7307">
        <w:rPr>
          <w:i/>
        </w:rPr>
        <w:t>impact</w:t>
      </w:r>
      <w:r w:rsidRPr="004F7307">
        <w:t xml:space="preserve"> categories are as follows</w:t>
      </w:r>
      <w:r>
        <w:t>:</w:t>
      </w:r>
    </w:p>
    <w:p w14:paraId="31E0B9AB" w14:textId="77777777" w:rsidR="00BB0CAC" w:rsidRDefault="00BB0CAC" w:rsidP="00F67768">
      <w:pPr>
        <w:numPr>
          <w:ilvl w:val="0"/>
          <w:numId w:val="18"/>
        </w:numPr>
        <w:ind w:left="284" w:hanging="284"/>
        <w:jc w:val="left"/>
      </w:pPr>
      <w:r w:rsidRPr="003A6475">
        <w:rPr>
          <w:b/>
        </w:rPr>
        <w:t>Historic:</w:t>
      </w:r>
      <w:r w:rsidRPr="004F7307">
        <w:t xml:space="preserve"> Tax expenditures that are no longer available for new claims, but qualifying activity from the past can still affect tax revenues. Some examples include: accelerated depreciation and home ownership savings. </w:t>
      </w:r>
    </w:p>
    <w:p w14:paraId="519627AA" w14:textId="38D103AF" w:rsidR="005F79E0" w:rsidRDefault="005F79E0" w:rsidP="00F67768">
      <w:pPr>
        <w:numPr>
          <w:ilvl w:val="0"/>
          <w:numId w:val="18"/>
        </w:numPr>
        <w:ind w:left="284" w:hanging="284"/>
        <w:jc w:val="left"/>
      </w:pPr>
      <w:r w:rsidRPr="003A6475">
        <w:rPr>
          <w:b/>
        </w:rPr>
        <w:t>Timing:</w:t>
      </w:r>
      <w:r w:rsidRPr="004F7307">
        <w:t xml:space="preserve"> Tax expenditures that achieve a tax deferral through allowing later recognition of income or earlier deductions</w:t>
      </w:r>
      <w:r>
        <w:t xml:space="preserve"> that reverse over following years</w:t>
      </w:r>
      <w:r w:rsidRPr="004F7307">
        <w:t>.</w:t>
      </w:r>
      <w:r>
        <w:t xml:space="preserve"> An example is</w:t>
      </w:r>
      <w:r w:rsidRPr="004F7307">
        <w:t xml:space="preserve"> the film industry expenditure deduction. </w:t>
      </w:r>
    </w:p>
    <w:p w14:paraId="153F91BE" w14:textId="77777777" w:rsidR="00BB0CAC" w:rsidRPr="009125EE" w:rsidRDefault="00BB0CAC" w:rsidP="00F67768">
      <w:pPr>
        <w:numPr>
          <w:ilvl w:val="0"/>
          <w:numId w:val="18"/>
        </w:numPr>
        <w:ind w:left="284" w:hanging="284"/>
        <w:jc w:val="left"/>
        <w:rPr>
          <w:lang w:val="en-AU"/>
        </w:rPr>
      </w:pPr>
      <w:r w:rsidRPr="003A6475">
        <w:rPr>
          <w:b/>
        </w:rPr>
        <w:t>Permanent:</w:t>
      </w:r>
      <w:r w:rsidRPr="004F7307">
        <w:t xml:space="preserve"> Tax expenditures that reduce the overall amount of tax payable or increase entitlement to Crown expenditure. Some examples include: income exemption for Community Trusts and the Charitable or other public benefit tax credit.</w:t>
      </w:r>
      <w:r w:rsidRPr="00825723">
        <w:t xml:space="preserve"> </w:t>
      </w:r>
    </w:p>
    <w:p w14:paraId="614538A9" w14:textId="77777777" w:rsidR="00BB0CAC" w:rsidRDefault="00BB0CAC" w:rsidP="00BB0CAC">
      <w:pPr>
        <w:rPr>
          <w:lang w:val="en-AU"/>
        </w:rPr>
        <w:sectPr w:rsidR="00BB0CAC" w:rsidSect="00861690">
          <w:pgSz w:w="11906" w:h="16838" w:code="9"/>
          <w:pgMar w:top="1276" w:right="1418" w:bottom="992" w:left="1701" w:header="567" w:footer="567" w:gutter="0"/>
          <w:cols w:space="708"/>
          <w:titlePg/>
          <w:docGrid w:linePitch="360"/>
        </w:sectPr>
      </w:pPr>
    </w:p>
    <w:p w14:paraId="379BA754" w14:textId="77777777" w:rsidR="00BB0CAC" w:rsidRPr="00D66F4C" w:rsidRDefault="00BB0CAC" w:rsidP="002323CD">
      <w:pPr>
        <w:pStyle w:val="Heading3"/>
      </w:pPr>
      <w:r w:rsidRPr="00D66F4C">
        <w:lastRenderedPageBreak/>
        <w:t>Table 3: Tax Expenditures Included in the Income Tax Act 2007</w:t>
      </w:r>
    </w:p>
    <w:tbl>
      <w:tblPr>
        <w:tblW w:w="5163"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57" w:type="dxa"/>
          <w:right w:w="57" w:type="dxa"/>
        </w:tblCellMar>
        <w:tblLook w:val="04A0" w:firstRow="1" w:lastRow="0" w:firstColumn="1" w:lastColumn="0" w:noHBand="0" w:noVBand="1"/>
      </w:tblPr>
      <w:tblGrid>
        <w:gridCol w:w="2551"/>
        <w:gridCol w:w="1639"/>
        <w:gridCol w:w="2934"/>
        <w:gridCol w:w="2934"/>
        <w:gridCol w:w="567"/>
        <w:gridCol w:w="850"/>
        <w:gridCol w:w="569"/>
        <w:gridCol w:w="708"/>
        <w:gridCol w:w="711"/>
        <w:gridCol w:w="989"/>
      </w:tblGrid>
      <w:tr w:rsidR="00BB0CAC" w:rsidRPr="00C779D3" w14:paraId="023C9D2D" w14:textId="77777777" w:rsidTr="00FA1438">
        <w:trPr>
          <w:tblHeader/>
        </w:trPr>
        <w:tc>
          <w:tcPr>
            <w:tcW w:w="883" w:type="pct"/>
            <w:vMerge w:val="restart"/>
            <w:shd w:val="clear" w:color="auto" w:fill="F2F2F2" w:themeFill="background1" w:themeFillShade="F2"/>
            <w:vAlign w:val="bottom"/>
          </w:tcPr>
          <w:p w14:paraId="696F05A0" w14:textId="77777777" w:rsidR="00BB0CAC" w:rsidRPr="002323CD" w:rsidRDefault="00BB0CAC" w:rsidP="002323CD">
            <w:pPr>
              <w:pStyle w:val="TableHeading"/>
            </w:pPr>
            <w:r w:rsidRPr="002323CD">
              <w:t>Tax Expenditure</w:t>
            </w:r>
          </w:p>
        </w:tc>
        <w:tc>
          <w:tcPr>
            <w:tcW w:w="567" w:type="pct"/>
            <w:vMerge w:val="restart"/>
            <w:shd w:val="clear" w:color="auto" w:fill="F2F2F2" w:themeFill="background1" w:themeFillShade="F2"/>
            <w:vAlign w:val="bottom"/>
          </w:tcPr>
          <w:p w14:paraId="6337A93C" w14:textId="77777777" w:rsidR="00BB0CAC" w:rsidRPr="002323CD" w:rsidRDefault="00BB0CAC" w:rsidP="002323CD">
            <w:pPr>
              <w:pStyle w:val="TableHeading"/>
            </w:pPr>
            <w:r w:rsidRPr="002323CD">
              <w:t>Sections/</w:t>
            </w:r>
          </w:p>
          <w:p w14:paraId="69644207" w14:textId="77777777" w:rsidR="00BB0CAC" w:rsidRPr="002323CD" w:rsidRDefault="00BB0CAC" w:rsidP="002323CD">
            <w:pPr>
              <w:pStyle w:val="TableHeading"/>
            </w:pPr>
            <w:r w:rsidRPr="002323CD">
              <w:t>Classification</w:t>
            </w:r>
          </w:p>
        </w:tc>
        <w:tc>
          <w:tcPr>
            <w:tcW w:w="1015" w:type="pct"/>
            <w:vMerge w:val="restart"/>
            <w:shd w:val="clear" w:color="auto" w:fill="F2F2F2" w:themeFill="background1" w:themeFillShade="F2"/>
            <w:vAlign w:val="bottom"/>
          </w:tcPr>
          <w:p w14:paraId="46460193" w14:textId="77777777" w:rsidR="00BB0CAC" w:rsidRPr="002323CD" w:rsidRDefault="00BB0CAC" w:rsidP="002323CD">
            <w:pPr>
              <w:pStyle w:val="TableHeading"/>
            </w:pPr>
            <w:r w:rsidRPr="002323CD">
              <w:t>Comment</w:t>
            </w:r>
          </w:p>
        </w:tc>
        <w:tc>
          <w:tcPr>
            <w:tcW w:w="1015" w:type="pct"/>
            <w:vMerge w:val="restart"/>
            <w:shd w:val="clear" w:color="auto" w:fill="F2F2F2" w:themeFill="background1" w:themeFillShade="F2"/>
            <w:vAlign w:val="bottom"/>
          </w:tcPr>
          <w:p w14:paraId="06B747FC" w14:textId="77777777" w:rsidR="00BB0CAC" w:rsidRPr="002323CD" w:rsidRDefault="00BB0CAC" w:rsidP="002323CD">
            <w:pPr>
              <w:pStyle w:val="TableHeading"/>
            </w:pPr>
            <w:r w:rsidRPr="002323CD">
              <w:t>Policy Rationale</w:t>
            </w:r>
          </w:p>
        </w:tc>
        <w:tc>
          <w:tcPr>
            <w:tcW w:w="687" w:type="pct"/>
            <w:gridSpan w:val="3"/>
            <w:shd w:val="clear" w:color="auto" w:fill="F2F2F2" w:themeFill="background1" w:themeFillShade="F2"/>
            <w:tcMar>
              <w:left w:w="28" w:type="dxa"/>
              <w:right w:w="28" w:type="dxa"/>
            </w:tcMar>
          </w:tcPr>
          <w:p w14:paraId="40515162" w14:textId="77777777" w:rsidR="00BB0CAC" w:rsidRPr="00C779D3" w:rsidRDefault="00BB0CAC" w:rsidP="000676D8">
            <w:pPr>
              <w:pStyle w:val="TableHeading"/>
              <w:jc w:val="center"/>
            </w:pPr>
            <w:r w:rsidRPr="00A96323">
              <w:t>Type</w:t>
            </w:r>
          </w:p>
        </w:tc>
        <w:tc>
          <w:tcPr>
            <w:tcW w:w="833" w:type="pct"/>
            <w:gridSpan w:val="3"/>
            <w:shd w:val="clear" w:color="auto" w:fill="F2F2F2" w:themeFill="background1" w:themeFillShade="F2"/>
            <w:tcMar>
              <w:left w:w="28" w:type="dxa"/>
              <w:right w:w="28" w:type="dxa"/>
            </w:tcMar>
          </w:tcPr>
          <w:p w14:paraId="0AABF758" w14:textId="77777777" w:rsidR="00BB0CAC" w:rsidRPr="002323CD" w:rsidRDefault="00BB0CAC" w:rsidP="002323CD">
            <w:pPr>
              <w:pStyle w:val="TableHeading"/>
              <w:jc w:val="center"/>
            </w:pPr>
            <w:r w:rsidRPr="002323CD">
              <w:t>Impact</w:t>
            </w:r>
          </w:p>
        </w:tc>
      </w:tr>
      <w:tr w:rsidR="00BB0CAC" w:rsidRPr="00C779D3" w14:paraId="408E6792" w14:textId="77777777" w:rsidTr="00FA1438">
        <w:trPr>
          <w:tblHeader/>
        </w:trPr>
        <w:tc>
          <w:tcPr>
            <w:tcW w:w="883" w:type="pct"/>
            <w:vMerge/>
            <w:shd w:val="clear" w:color="auto" w:fill="F2F2F2" w:themeFill="background1" w:themeFillShade="F2"/>
          </w:tcPr>
          <w:p w14:paraId="6A666F48" w14:textId="77777777" w:rsidR="00BB0CAC" w:rsidRPr="00C779D3" w:rsidRDefault="00BB0CAC" w:rsidP="000676D8">
            <w:pPr>
              <w:spacing w:line="220" w:lineRule="atLeast"/>
              <w:rPr>
                <w:spacing w:val="-2"/>
              </w:rPr>
            </w:pPr>
          </w:p>
        </w:tc>
        <w:tc>
          <w:tcPr>
            <w:tcW w:w="567" w:type="pct"/>
            <w:vMerge/>
            <w:shd w:val="clear" w:color="auto" w:fill="F2F2F2" w:themeFill="background1" w:themeFillShade="F2"/>
          </w:tcPr>
          <w:p w14:paraId="76C8163D" w14:textId="77777777" w:rsidR="00BB0CAC" w:rsidRPr="00A96323" w:rsidRDefault="00BB0CAC" w:rsidP="000676D8">
            <w:pPr>
              <w:spacing w:line="220" w:lineRule="atLeast"/>
              <w:rPr>
                <w:i/>
                <w:spacing w:val="-2"/>
              </w:rPr>
            </w:pPr>
          </w:p>
        </w:tc>
        <w:tc>
          <w:tcPr>
            <w:tcW w:w="1015" w:type="pct"/>
            <w:vMerge/>
            <w:shd w:val="clear" w:color="auto" w:fill="F2F2F2" w:themeFill="background1" w:themeFillShade="F2"/>
          </w:tcPr>
          <w:p w14:paraId="750A2761" w14:textId="77777777" w:rsidR="00BB0CAC" w:rsidRDefault="00BB0CAC" w:rsidP="000676D8">
            <w:pPr>
              <w:spacing w:before="30" w:line="220" w:lineRule="atLeast"/>
              <w:rPr>
                <w:rFonts w:ascii="Arial Bold" w:hAnsi="Arial Bold"/>
                <w:color w:val="002060"/>
                <w:spacing w:val="-3"/>
              </w:rPr>
            </w:pPr>
          </w:p>
        </w:tc>
        <w:tc>
          <w:tcPr>
            <w:tcW w:w="1015" w:type="pct"/>
            <w:vMerge/>
            <w:shd w:val="clear" w:color="auto" w:fill="F2F2F2" w:themeFill="background1" w:themeFillShade="F2"/>
          </w:tcPr>
          <w:p w14:paraId="2195B2F2" w14:textId="77777777" w:rsidR="00BB0CAC" w:rsidRPr="00C253BC" w:rsidRDefault="00BB0CAC" w:rsidP="000676D8">
            <w:pPr>
              <w:spacing w:afterLines="60" w:after="144" w:line="240" w:lineRule="atLeast"/>
              <w:jc w:val="center"/>
              <w:rPr>
                <w:rFonts w:cs="Arial"/>
                <w:color w:val="002060"/>
                <w:spacing w:val="-3"/>
              </w:rPr>
            </w:pPr>
          </w:p>
        </w:tc>
        <w:tc>
          <w:tcPr>
            <w:tcW w:w="196" w:type="pct"/>
            <w:shd w:val="clear" w:color="auto" w:fill="F2F2F2" w:themeFill="background1" w:themeFillShade="F2"/>
            <w:tcMar>
              <w:left w:w="28" w:type="dxa"/>
              <w:right w:w="28" w:type="dxa"/>
            </w:tcMar>
          </w:tcPr>
          <w:p w14:paraId="06FEA763" w14:textId="77777777" w:rsidR="00BB0CAC" w:rsidRPr="00C779D3" w:rsidRDefault="00BB0CAC" w:rsidP="000676D8">
            <w:pPr>
              <w:pStyle w:val="TableHeading"/>
            </w:pPr>
            <w:r w:rsidRPr="00C779D3">
              <w:t>Social</w:t>
            </w:r>
          </w:p>
        </w:tc>
        <w:tc>
          <w:tcPr>
            <w:tcW w:w="294" w:type="pct"/>
            <w:shd w:val="clear" w:color="auto" w:fill="F2F2F2" w:themeFill="background1" w:themeFillShade="F2"/>
            <w:tcMar>
              <w:left w:w="28" w:type="dxa"/>
              <w:right w:w="28" w:type="dxa"/>
            </w:tcMar>
          </w:tcPr>
          <w:p w14:paraId="726840A7" w14:textId="77777777" w:rsidR="00BB0CAC" w:rsidRPr="00C779D3" w:rsidRDefault="00BB0CAC" w:rsidP="000676D8">
            <w:pPr>
              <w:pStyle w:val="TableHeading"/>
            </w:pPr>
            <w:r w:rsidRPr="00C779D3">
              <w:t>Business</w:t>
            </w:r>
          </w:p>
        </w:tc>
        <w:tc>
          <w:tcPr>
            <w:tcW w:w="197" w:type="pct"/>
            <w:shd w:val="clear" w:color="auto" w:fill="F2F2F2" w:themeFill="background1" w:themeFillShade="F2"/>
            <w:tcMar>
              <w:left w:w="28" w:type="dxa"/>
              <w:right w:w="28" w:type="dxa"/>
            </w:tcMar>
          </w:tcPr>
          <w:p w14:paraId="24852FA5" w14:textId="77777777" w:rsidR="00BB0CAC" w:rsidRPr="00C779D3" w:rsidRDefault="00BB0CAC" w:rsidP="000676D8">
            <w:pPr>
              <w:pStyle w:val="TableHeading"/>
            </w:pPr>
            <w:r w:rsidRPr="00C779D3">
              <w:t>Other</w:t>
            </w:r>
          </w:p>
        </w:tc>
        <w:tc>
          <w:tcPr>
            <w:tcW w:w="245" w:type="pct"/>
            <w:shd w:val="clear" w:color="auto" w:fill="F2F2F2" w:themeFill="background1" w:themeFillShade="F2"/>
            <w:tcMar>
              <w:left w:w="28" w:type="dxa"/>
              <w:right w:w="28" w:type="dxa"/>
            </w:tcMar>
          </w:tcPr>
          <w:p w14:paraId="248192DA" w14:textId="77777777" w:rsidR="00BB0CAC" w:rsidRPr="00D66F4C" w:rsidRDefault="00BB0CAC" w:rsidP="002323CD">
            <w:pPr>
              <w:pStyle w:val="TableHeading"/>
            </w:pPr>
            <w:r w:rsidRPr="00D66F4C">
              <w:t>Historic</w:t>
            </w:r>
          </w:p>
        </w:tc>
        <w:tc>
          <w:tcPr>
            <w:tcW w:w="246" w:type="pct"/>
            <w:shd w:val="clear" w:color="auto" w:fill="F2F2F2" w:themeFill="background1" w:themeFillShade="F2"/>
            <w:tcMar>
              <w:left w:w="28" w:type="dxa"/>
              <w:right w:w="28" w:type="dxa"/>
            </w:tcMar>
          </w:tcPr>
          <w:p w14:paraId="19EB7ABB" w14:textId="77777777" w:rsidR="00BB0CAC" w:rsidRPr="002323CD" w:rsidRDefault="00BB0CAC" w:rsidP="002323CD">
            <w:pPr>
              <w:pStyle w:val="TableHeading"/>
            </w:pPr>
            <w:r w:rsidRPr="002323CD">
              <w:t>Timing</w:t>
            </w:r>
          </w:p>
        </w:tc>
        <w:tc>
          <w:tcPr>
            <w:tcW w:w="342" w:type="pct"/>
            <w:shd w:val="clear" w:color="auto" w:fill="F2F2F2" w:themeFill="background1" w:themeFillShade="F2"/>
            <w:tcMar>
              <w:left w:w="28" w:type="dxa"/>
              <w:right w:w="28" w:type="dxa"/>
            </w:tcMar>
          </w:tcPr>
          <w:p w14:paraId="79D020FC" w14:textId="77777777" w:rsidR="00BB0CAC" w:rsidRPr="002323CD" w:rsidRDefault="00BB0CAC" w:rsidP="002323CD">
            <w:pPr>
              <w:pStyle w:val="TableHeading"/>
            </w:pPr>
            <w:r w:rsidRPr="002323CD">
              <w:t>Permanent</w:t>
            </w:r>
          </w:p>
        </w:tc>
      </w:tr>
      <w:tr w:rsidR="00BB0CAC" w:rsidRPr="00844BF8" w14:paraId="72E69BEF" w14:textId="77777777" w:rsidTr="008C1748">
        <w:tc>
          <w:tcPr>
            <w:tcW w:w="883" w:type="pct"/>
          </w:tcPr>
          <w:p w14:paraId="322827FA" w14:textId="77777777" w:rsidR="00BB0CAC" w:rsidRPr="00F60D34" w:rsidRDefault="00BB0CAC" w:rsidP="000676D8">
            <w:pPr>
              <w:pStyle w:val="TableText"/>
            </w:pPr>
            <w:r w:rsidRPr="00F60D34">
              <w:t>Accelerated depreciation</w:t>
            </w:r>
          </w:p>
        </w:tc>
        <w:tc>
          <w:tcPr>
            <w:tcW w:w="567" w:type="pct"/>
          </w:tcPr>
          <w:p w14:paraId="499276CA" w14:textId="77777777" w:rsidR="00BB0CAC" w:rsidRPr="00A96323" w:rsidRDefault="00BB0CAC" w:rsidP="000676D8">
            <w:pPr>
              <w:pStyle w:val="TableText"/>
              <w:rPr>
                <w:rStyle w:val="Emphasis"/>
              </w:rPr>
            </w:pPr>
            <w:r w:rsidRPr="00A96323">
              <w:rPr>
                <w:rStyle w:val="Emphasis"/>
              </w:rPr>
              <w:t>Sections DO 4-5, 12, DP 3, DZ 17-18, EE 31</w:t>
            </w:r>
          </w:p>
          <w:p w14:paraId="12E3FC7A" w14:textId="77777777" w:rsidR="00BB0CAC" w:rsidRPr="00A96323" w:rsidRDefault="00BB0CAC" w:rsidP="000676D8">
            <w:pPr>
              <w:pStyle w:val="TableText"/>
              <w:rPr>
                <w:rStyle w:val="Emphasis"/>
              </w:rPr>
            </w:pPr>
            <w:r w:rsidRPr="00A96323">
              <w:rPr>
                <w:rStyle w:val="Emphasis"/>
              </w:rPr>
              <w:t>-Accelerated write-off</w:t>
            </w:r>
          </w:p>
        </w:tc>
        <w:tc>
          <w:tcPr>
            <w:tcW w:w="1015" w:type="pct"/>
          </w:tcPr>
          <w:p w14:paraId="4F5986AC" w14:textId="77777777" w:rsidR="00BB0CAC" w:rsidRDefault="00BB0CAC" w:rsidP="000676D8">
            <w:pPr>
              <w:pStyle w:val="TableText"/>
            </w:pPr>
            <w:r w:rsidRPr="00472DF6">
              <w:rPr>
                <w:rFonts w:cs="Arial"/>
                <w:szCs w:val="16"/>
              </w:rPr>
              <w:t>The ability to depreciate capital items faster than their economic life reduces income by a greater amount in earlier years (deferring tax payments).  This covers both primary sector amortisation and fixed asset depreciation.</w:t>
            </w:r>
          </w:p>
        </w:tc>
        <w:tc>
          <w:tcPr>
            <w:tcW w:w="1015" w:type="pct"/>
          </w:tcPr>
          <w:p w14:paraId="389050B9"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To encourage investment in depreciable assets. </w:t>
            </w:r>
          </w:p>
          <w:p w14:paraId="137593B0" w14:textId="77777777" w:rsidR="00BB0CAC" w:rsidRPr="00C253BC" w:rsidRDefault="00BB0CAC" w:rsidP="000676D8">
            <w:pPr>
              <w:pStyle w:val="TableText"/>
              <w:rPr>
                <w:rFonts w:cs="Arial"/>
              </w:rPr>
            </w:pPr>
          </w:p>
        </w:tc>
        <w:tc>
          <w:tcPr>
            <w:tcW w:w="196" w:type="pct"/>
            <w:tcMar>
              <w:left w:w="28" w:type="dxa"/>
              <w:right w:w="28" w:type="dxa"/>
            </w:tcMar>
          </w:tcPr>
          <w:p w14:paraId="20AF8F8C" w14:textId="77777777" w:rsidR="00BB0CAC" w:rsidRPr="0000034F" w:rsidRDefault="00BB0CAC" w:rsidP="000676D8">
            <w:pPr>
              <w:pStyle w:val="TableText"/>
              <w:jc w:val="center"/>
            </w:pPr>
          </w:p>
        </w:tc>
        <w:tc>
          <w:tcPr>
            <w:tcW w:w="294" w:type="pct"/>
            <w:tcMar>
              <w:left w:w="28" w:type="dxa"/>
              <w:right w:w="28" w:type="dxa"/>
            </w:tcMar>
          </w:tcPr>
          <w:p w14:paraId="0A22A1B7" w14:textId="77777777" w:rsidR="00BB0CAC" w:rsidRPr="0000034F" w:rsidRDefault="00BB0CAC" w:rsidP="000676D8">
            <w:pPr>
              <w:pStyle w:val="TableText"/>
              <w:jc w:val="center"/>
            </w:pPr>
            <w:r w:rsidRPr="00E07D02">
              <w:rPr>
                <w:rFonts w:ascii="Wingdings" w:hAnsi="Wingdings"/>
              </w:rPr>
              <w:t></w:t>
            </w:r>
          </w:p>
        </w:tc>
        <w:tc>
          <w:tcPr>
            <w:tcW w:w="197" w:type="pct"/>
            <w:tcMar>
              <w:left w:w="28" w:type="dxa"/>
              <w:right w:w="28" w:type="dxa"/>
            </w:tcMar>
          </w:tcPr>
          <w:p w14:paraId="6DA29144" w14:textId="77777777" w:rsidR="00BB0CAC" w:rsidRPr="0000034F" w:rsidRDefault="00BB0CAC" w:rsidP="000676D8">
            <w:pPr>
              <w:pStyle w:val="TableText"/>
              <w:jc w:val="center"/>
            </w:pPr>
          </w:p>
        </w:tc>
        <w:tc>
          <w:tcPr>
            <w:tcW w:w="245" w:type="pct"/>
            <w:tcMar>
              <w:left w:w="28" w:type="dxa"/>
              <w:right w:w="28" w:type="dxa"/>
            </w:tcMar>
          </w:tcPr>
          <w:p w14:paraId="10ABC8DB" w14:textId="77777777" w:rsidR="00BB0CAC" w:rsidRPr="0000034F" w:rsidRDefault="00BB0CAC" w:rsidP="000676D8">
            <w:pPr>
              <w:pStyle w:val="TableText"/>
              <w:jc w:val="center"/>
            </w:pPr>
            <w:r w:rsidRPr="00E07D02">
              <w:rPr>
                <w:rFonts w:ascii="Wingdings" w:hAnsi="Wingdings"/>
              </w:rPr>
              <w:t></w:t>
            </w:r>
          </w:p>
        </w:tc>
        <w:tc>
          <w:tcPr>
            <w:tcW w:w="246" w:type="pct"/>
            <w:tcMar>
              <w:left w:w="28" w:type="dxa"/>
              <w:right w:w="28" w:type="dxa"/>
            </w:tcMar>
          </w:tcPr>
          <w:p w14:paraId="29452372" w14:textId="77777777" w:rsidR="00BB0CAC" w:rsidRPr="0000034F" w:rsidRDefault="00BB0CAC" w:rsidP="000676D8">
            <w:pPr>
              <w:pStyle w:val="TableText"/>
              <w:jc w:val="center"/>
            </w:pPr>
            <w:r w:rsidRPr="00E07D02">
              <w:rPr>
                <w:rFonts w:ascii="Wingdings" w:hAnsi="Wingdings"/>
              </w:rPr>
              <w:t></w:t>
            </w:r>
          </w:p>
        </w:tc>
        <w:tc>
          <w:tcPr>
            <w:tcW w:w="342" w:type="pct"/>
            <w:tcMar>
              <w:left w:w="28" w:type="dxa"/>
              <w:right w:w="28" w:type="dxa"/>
            </w:tcMar>
          </w:tcPr>
          <w:p w14:paraId="5C6D947E" w14:textId="77777777" w:rsidR="00BB0CAC" w:rsidRPr="0000034F" w:rsidRDefault="00BB0CAC" w:rsidP="000676D8">
            <w:pPr>
              <w:pStyle w:val="TableText"/>
              <w:jc w:val="center"/>
            </w:pPr>
          </w:p>
        </w:tc>
      </w:tr>
      <w:tr w:rsidR="00BB0CAC" w:rsidRPr="00844BF8" w14:paraId="2B20DC38" w14:textId="77777777" w:rsidTr="008C1748">
        <w:tc>
          <w:tcPr>
            <w:tcW w:w="883" w:type="pct"/>
          </w:tcPr>
          <w:p w14:paraId="13F90AD3" w14:textId="77777777" w:rsidR="00BB0CAC" w:rsidRPr="00F60D34" w:rsidRDefault="00BB0CAC" w:rsidP="000676D8">
            <w:pPr>
              <w:pStyle w:val="TableText"/>
            </w:pPr>
            <w:r>
              <w:t>Accommodation allowances</w:t>
            </w:r>
          </w:p>
        </w:tc>
        <w:tc>
          <w:tcPr>
            <w:tcW w:w="567" w:type="pct"/>
          </w:tcPr>
          <w:p w14:paraId="542102D0" w14:textId="77777777" w:rsidR="00BB0CAC" w:rsidRPr="00A96323" w:rsidRDefault="00BB0CAC" w:rsidP="000676D8">
            <w:pPr>
              <w:pStyle w:val="TableText"/>
              <w:rPr>
                <w:rStyle w:val="Emphasis"/>
              </w:rPr>
            </w:pPr>
            <w:r w:rsidRPr="00A96323">
              <w:rPr>
                <w:rStyle w:val="Emphasis"/>
              </w:rPr>
              <w:t>-Exemption</w:t>
            </w:r>
          </w:p>
        </w:tc>
        <w:tc>
          <w:tcPr>
            <w:tcW w:w="1015" w:type="pct"/>
          </w:tcPr>
          <w:p w14:paraId="1175CE51" w14:textId="77777777" w:rsidR="00BB0CAC" w:rsidRPr="00472DF6" w:rsidRDefault="00BB0CAC" w:rsidP="000676D8">
            <w:pPr>
              <w:pStyle w:val="TableText"/>
              <w:rPr>
                <w:rFonts w:cs="Arial"/>
                <w:szCs w:val="16"/>
              </w:rPr>
            </w:pPr>
            <w:r>
              <w:rPr>
                <w:color w:val="000000"/>
                <w:szCs w:val="16"/>
                <w:lang w:eastAsia="en-NZ"/>
              </w:rPr>
              <w:t>Exemption for accommodation allowances for these three groups.</w:t>
            </w:r>
          </w:p>
        </w:tc>
        <w:tc>
          <w:tcPr>
            <w:tcW w:w="1015" w:type="pct"/>
          </w:tcPr>
          <w:p w14:paraId="6F78AA5A"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E</w:t>
            </w:r>
            <w:r w:rsidRPr="00C253BC">
              <w:rPr>
                <w:rFonts w:cs="Arial"/>
                <w:color w:val="000000"/>
                <w:szCs w:val="16"/>
                <w:lang w:eastAsia="en-NZ"/>
              </w:rPr>
              <w:t>mployer provided accommodation and accommodation payments provide private benefit to the employee and should be taxed. In these three instances, there is little benefit to the employee</w:t>
            </w:r>
            <w:r>
              <w:rPr>
                <w:rFonts w:cs="Arial"/>
                <w:color w:val="000000"/>
                <w:szCs w:val="16"/>
                <w:lang w:eastAsia="en-NZ"/>
              </w:rPr>
              <w:t>,</w:t>
            </w:r>
            <w:r w:rsidRPr="00C253BC">
              <w:rPr>
                <w:rFonts w:cs="Arial"/>
                <w:color w:val="000000"/>
                <w:szCs w:val="16"/>
                <w:lang w:eastAsia="en-NZ"/>
              </w:rPr>
              <w:t xml:space="preserve"> because the </w:t>
            </w:r>
            <w:r>
              <w:rPr>
                <w:rFonts w:cs="Arial"/>
                <w:color w:val="000000"/>
                <w:szCs w:val="16"/>
                <w:lang w:eastAsia="en-NZ"/>
              </w:rPr>
              <w:t>a</w:t>
            </w:r>
            <w:r w:rsidRPr="00C253BC">
              <w:rPr>
                <w:rFonts w:cs="Arial"/>
                <w:color w:val="000000"/>
                <w:szCs w:val="16"/>
                <w:lang w:eastAsia="en-NZ"/>
              </w:rPr>
              <w:t>ccommodation or payments arise from the requirements of the employer or the job.</w:t>
            </w:r>
          </w:p>
        </w:tc>
        <w:tc>
          <w:tcPr>
            <w:tcW w:w="196" w:type="pct"/>
            <w:tcMar>
              <w:left w:w="28" w:type="dxa"/>
              <w:right w:w="28" w:type="dxa"/>
            </w:tcMar>
          </w:tcPr>
          <w:p w14:paraId="032C2FFE" w14:textId="77777777" w:rsidR="00BB0CAC" w:rsidRPr="0000034F" w:rsidRDefault="00BB0CAC" w:rsidP="000676D8">
            <w:pPr>
              <w:pStyle w:val="TableText"/>
              <w:jc w:val="center"/>
            </w:pPr>
          </w:p>
        </w:tc>
        <w:tc>
          <w:tcPr>
            <w:tcW w:w="294" w:type="pct"/>
            <w:tcMar>
              <w:left w:w="28" w:type="dxa"/>
              <w:right w:w="28" w:type="dxa"/>
            </w:tcMar>
          </w:tcPr>
          <w:p w14:paraId="5139C8F6" w14:textId="77777777" w:rsidR="00BB0CAC" w:rsidRPr="00E07D02" w:rsidRDefault="00BB0CAC" w:rsidP="000676D8">
            <w:pPr>
              <w:pStyle w:val="TableText"/>
              <w:jc w:val="center"/>
              <w:rPr>
                <w:rFonts w:ascii="Wingdings" w:hAnsi="Wingdings"/>
              </w:rPr>
            </w:pPr>
          </w:p>
        </w:tc>
        <w:tc>
          <w:tcPr>
            <w:tcW w:w="197" w:type="pct"/>
            <w:tcMar>
              <w:left w:w="28" w:type="dxa"/>
              <w:right w:w="28" w:type="dxa"/>
            </w:tcMar>
          </w:tcPr>
          <w:p w14:paraId="30DF6D39" w14:textId="77777777" w:rsidR="00BB0CAC" w:rsidRPr="0000034F" w:rsidRDefault="00BB0CAC" w:rsidP="000676D8">
            <w:pPr>
              <w:pStyle w:val="TableText"/>
              <w:jc w:val="center"/>
            </w:pPr>
            <w:r w:rsidRPr="00E07D02">
              <w:rPr>
                <w:rFonts w:ascii="Wingdings" w:hAnsi="Wingdings"/>
              </w:rPr>
              <w:t></w:t>
            </w:r>
          </w:p>
        </w:tc>
        <w:tc>
          <w:tcPr>
            <w:tcW w:w="245" w:type="pct"/>
            <w:tcMar>
              <w:left w:w="28" w:type="dxa"/>
              <w:right w:w="28" w:type="dxa"/>
            </w:tcMar>
          </w:tcPr>
          <w:p w14:paraId="066DE4C0" w14:textId="77777777" w:rsidR="00BB0CAC" w:rsidRPr="00E07D02" w:rsidRDefault="00BB0CAC" w:rsidP="000676D8">
            <w:pPr>
              <w:pStyle w:val="TableText"/>
              <w:jc w:val="center"/>
              <w:rPr>
                <w:rFonts w:ascii="Wingdings" w:hAnsi="Wingdings"/>
              </w:rPr>
            </w:pPr>
          </w:p>
        </w:tc>
        <w:tc>
          <w:tcPr>
            <w:tcW w:w="246" w:type="pct"/>
            <w:tcMar>
              <w:left w:w="28" w:type="dxa"/>
              <w:right w:w="28" w:type="dxa"/>
            </w:tcMar>
          </w:tcPr>
          <w:p w14:paraId="40ED4057" w14:textId="77777777" w:rsidR="00BB0CAC" w:rsidRPr="00E07D02" w:rsidRDefault="00BB0CAC" w:rsidP="000676D8">
            <w:pPr>
              <w:pStyle w:val="TableText"/>
              <w:jc w:val="center"/>
              <w:rPr>
                <w:rFonts w:ascii="Wingdings" w:hAnsi="Wingdings"/>
              </w:rPr>
            </w:pPr>
          </w:p>
        </w:tc>
        <w:tc>
          <w:tcPr>
            <w:tcW w:w="342" w:type="pct"/>
            <w:tcMar>
              <w:left w:w="28" w:type="dxa"/>
              <w:right w:w="28" w:type="dxa"/>
            </w:tcMar>
          </w:tcPr>
          <w:p w14:paraId="68CA11FC" w14:textId="77777777" w:rsidR="00BB0CAC" w:rsidRPr="0000034F" w:rsidRDefault="00BB0CAC" w:rsidP="000676D8">
            <w:pPr>
              <w:pStyle w:val="TableText"/>
              <w:jc w:val="center"/>
            </w:pPr>
            <w:r w:rsidRPr="00E07D02">
              <w:rPr>
                <w:rFonts w:ascii="Wingdings" w:hAnsi="Wingdings"/>
              </w:rPr>
              <w:t></w:t>
            </w:r>
          </w:p>
        </w:tc>
      </w:tr>
      <w:tr w:rsidR="00BB0CAC" w:rsidRPr="00844BF8" w14:paraId="7DBA43BC" w14:textId="77777777" w:rsidTr="008C1748">
        <w:tc>
          <w:tcPr>
            <w:tcW w:w="883" w:type="pct"/>
            <w:shd w:val="clear" w:color="auto" w:fill="FFFFFF" w:themeFill="background1"/>
          </w:tcPr>
          <w:p w14:paraId="26AD2ADC" w14:textId="77777777" w:rsidR="00BB0CAC" w:rsidRPr="00F60D34" w:rsidRDefault="00BB0CAC" w:rsidP="000676D8">
            <w:pPr>
              <w:pStyle w:val="TableText"/>
            </w:pPr>
            <w:r w:rsidRPr="00F60D34">
              <w:t>Defence Force</w:t>
            </w:r>
          </w:p>
        </w:tc>
        <w:tc>
          <w:tcPr>
            <w:tcW w:w="567" w:type="pct"/>
            <w:shd w:val="clear" w:color="auto" w:fill="FFFFFF" w:themeFill="background1"/>
          </w:tcPr>
          <w:p w14:paraId="5C51FD95" w14:textId="77777777" w:rsidR="00BB0CAC" w:rsidRPr="00A96323" w:rsidRDefault="00BB0CAC" w:rsidP="000676D8">
            <w:pPr>
              <w:pStyle w:val="TableText"/>
              <w:rPr>
                <w:rStyle w:val="Emphasis"/>
              </w:rPr>
            </w:pPr>
            <w:r w:rsidRPr="00A96323">
              <w:rPr>
                <w:rStyle w:val="Emphasis"/>
              </w:rPr>
              <w:t>Section CE 1D</w:t>
            </w:r>
          </w:p>
          <w:p w14:paraId="507A17CB" w14:textId="77777777" w:rsidR="00BB0CAC" w:rsidRPr="00A96323" w:rsidRDefault="00BB0CAC" w:rsidP="000676D8">
            <w:pPr>
              <w:pStyle w:val="TableText"/>
              <w:rPr>
                <w:rStyle w:val="Emphasis"/>
              </w:rPr>
            </w:pPr>
            <w:r w:rsidRPr="00A96323">
              <w:rPr>
                <w:rStyle w:val="Emphasis"/>
              </w:rPr>
              <w:t>-Exemption</w:t>
            </w:r>
          </w:p>
        </w:tc>
        <w:tc>
          <w:tcPr>
            <w:tcW w:w="1015" w:type="pct"/>
            <w:shd w:val="clear" w:color="auto" w:fill="FFFFFF" w:themeFill="background1"/>
          </w:tcPr>
          <w:p w14:paraId="76EF9857" w14:textId="77777777" w:rsidR="00BB0CAC" w:rsidRDefault="00BB0CAC" w:rsidP="000676D8">
            <w:pPr>
              <w:pStyle w:val="TableText"/>
              <w:rPr>
                <w:color w:val="000000"/>
                <w:szCs w:val="16"/>
                <w:lang w:eastAsia="en-NZ"/>
              </w:rPr>
            </w:pPr>
            <w:r w:rsidRPr="00E66D45">
              <w:rPr>
                <w:color w:val="000000"/>
                <w:szCs w:val="16"/>
                <w:lang w:eastAsia="en-NZ"/>
              </w:rPr>
              <w:t>Exemption for accommodation provided to a member of the Defence Force.</w:t>
            </w:r>
          </w:p>
        </w:tc>
        <w:tc>
          <w:tcPr>
            <w:tcW w:w="1015" w:type="pct"/>
            <w:shd w:val="clear" w:color="auto" w:fill="FFFFFF" w:themeFill="background1"/>
          </w:tcPr>
          <w:p w14:paraId="60B43A63"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NZDF </w:t>
            </w:r>
            <w:r>
              <w:rPr>
                <w:rFonts w:cs="Arial"/>
                <w:color w:val="000000"/>
                <w:szCs w:val="16"/>
                <w:lang w:eastAsia="en-NZ"/>
              </w:rPr>
              <w:t xml:space="preserve">staff are </w:t>
            </w:r>
            <w:r w:rsidRPr="00C253BC">
              <w:rPr>
                <w:rFonts w:cs="Arial"/>
                <w:color w:val="000000"/>
                <w:szCs w:val="16"/>
                <w:lang w:eastAsia="en-NZ"/>
              </w:rPr>
              <w:t>required to accept posting</w:t>
            </w:r>
            <w:r>
              <w:rPr>
                <w:rFonts w:cs="Arial"/>
                <w:color w:val="000000"/>
                <w:szCs w:val="16"/>
                <w:lang w:eastAsia="en-NZ"/>
              </w:rPr>
              <w:t>s</w:t>
            </w:r>
            <w:r w:rsidRPr="00C253BC">
              <w:rPr>
                <w:rFonts w:cs="Arial"/>
                <w:color w:val="000000"/>
                <w:szCs w:val="16"/>
                <w:lang w:eastAsia="en-NZ"/>
              </w:rPr>
              <w:t xml:space="preserve"> anywhere in the country. Housing is on base and under certain restrictions</w:t>
            </w:r>
            <w:r>
              <w:rPr>
                <w:rFonts w:cs="Arial"/>
                <w:color w:val="000000"/>
                <w:szCs w:val="16"/>
                <w:lang w:eastAsia="en-NZ"/>
              </w:rPr>
              <w:t>.</w:t>
            </w:r>
          </w:p>
        </w:tc>
        <w:tc>
          <w:tcPr>
            <w:tcW w:w="196" w:type="pct"/>
            <w:shd w:val="clear" w:color="auto" w:fill="FFFFFF" w:themeFill="background1"/>
            <w:tcMar>
              <w:left w:w="28" w:type="dxa"/>
              <w:right w:w="28" w:type="dxa"/>
            </w:tcMar>
          </w:tcPr>
          <w:p w14:paraId="7D30E0AC" w14:textId="77777777" w:rsidR="00BB0CAC" w:rsidRPr="0000034F" w:rsidRDefault="00BB0CAC" w:rsidP="000676D8">
            <w:pPr>
              <w:pStyle w:val="TableText"/>
              <w:jc w:val="center"/>
            </w:pPr>
          </w:p>
        </w:tc>
        <w:tc>
          <w:tcPr>
            <w:tcW w:w="294" w:type="pct"/>
            <w:shd w:val="clear" w:color="auto" w:fill="FFFFFF" w:themeFill="background1"/>
            <w:tcMar>
              <w:left w:w="28" w:type="dxa"/>
              <w:right w:w="28" w:type="dxa"/>
            </w:tcMar>
          </w:tcPr>
          <w:p w14:paraId="57281839" w14:textId="77777777" w:rsidR="00BB0CAC" w:rsidRPr="00E07D02" w:rsidRDefault="00BB0CAC" w:rsidP="000676D8">
            <w:pPr>
              <w:pStyle w:val="TableText"/>
              <w:jc w:val="center"/>
              <w:rPr>
                <w:rFonts w:ascii="Wingdings" w:hAnsi="Wingdings"/>
              </w:rPr>
            </w:pPr>
          </w:p>
        </w:tc>
        <w:tc>
          <w:tcPr>
            <w:tcW w:w="197" w:type="pct"/>
            <w:shd w:val="clear" w:color="auto" w:fill="FFFFFF" w:themeFill="background1"/>
            <w:tcMar>
              <w:left w:w="28" w:type="dxa"/>
              <w:right w:w="28" w:type="dxa"/>
            </w:tcMar>
          </w:tcPr>
          <w:p w14:paraId="383638B8" w14:textId="77777777" w:rsidR="00BB0CAC" w:rsidRPr="0000034F" w:rsidRDefault="00BB0CAC" w:rsidP="000676D8">
            <w:pPr>
              <w:pStyle w:val="TableText"/>
              <w:jc w:val="center"/>
            </w:pPr>
            <w:r w:rsidRPr="00E07D02">
              <w:rPr>
                <w:rFonts w:ascii="Wingdings" w:hAnsi="Wingdings"/>
              </w:rPr>
              <w:t></w:t>
            </w:r>
          </w:p>
        </w:tc>
        <w:tc>
          <w:tcPr>
            <w:tcW w:w="245" w:type="pct"/>
            <w:shd w:val="clear" w:color="auto" w:fill="FFFFFF" w:themeFill="background1"/>
            <w:tcMar>
              <w:left w:w="28" w:type="dxa"/>
              <w:right w:w="28" w:type="dxa"/>
            </w:tcMar>
          </w:tcPr>
          <w:p w14:paraId="132AC7E8" w14:textId="77777777" w:rsidR="00BB0CAC" w:rsidRPr="00E07D02" w:rsidRDefault="00BB0CAC" w:rsidP="000676D8">
            <w:pPr>
              <w:pStyle w:val="TableText"/>
              <w:jc w:val="center"/>
              <w:rPr>
                <w:rFonts w:ascii="Wingdings" w:hAnsi="Wingdings"/>
              </w:rPr>
            </w:pPr>
          </w:p>
        </w:tc>
        <w:tc>
          <w:tcPr>
            <w:tcW w:w="246" w:type="pct"/>
            <w:shd w:val="clear" w:color="auto" w:fill="FFFFFF" w:themeFill="background1"/>
            <w:tcMar>
              <w:left w:w="28" w:type="dxa"/>
              <w:right w:w="28" w:type="dxa"/>
            </w:tcMar>
          </w:tcPr>
          <w:p w14:paraId="6B43D9AF" w14:textId="77777777" w:rsidR="00BB0CAC" w:rsidRPr="00E07D02" w:rsidRDefault="00BB0CAC" w:rsidP="000676D8">
            <w:pPr>
              <w:pStyle w:val="TableText"/>
              <w:jc w:val="center"/>
              <w:rPr>
                <w:rFonts w:ascii="Wingdings" w:hAnsi="Wingdings"/>
              </w:rPr>
            </w:pPr>
          </w:p>
        </w:tc>
        <w:tc>
          <w:tcPr>
            <w:tcW w:w="342" w:type="pct"/>
            <w:shd w:val="clear" w:color="auto" w:fill="FFFFFF" w:themeFill="background1"/>
            <w:tcMar>
              <w:left w:w="28" w:type="dxa"/>
              <w:right w:w="28" w:type="dxa"/>
            </w:tcMar>
          </w:tcPr>
          <w:p w14:paraId="2502F694" w14:textId="77777777" w:rsidR="00BB0CAC" w:rsidRPr="0000034F" w:rsidRDefault="00BB0CAC" w:rsidP="000676D8">
            <w:pPr>
              <w:pStyle w:val="TableText"/>
              <w:jc w:val="center"/>
            </w:pPr>
            <w:r w:rsidRPr="00E07D02">
              <w:rPr>
                <w:rFonts w:ascii="Wingdings" w:hAnsi="Wingdings"/>
              </w:rPr>
              <w:t></w:t>
            </w:r>
          </w:p>
        </w:tc>
      </w:tr>
      <w:tr w:rsidR="00BB0CAC" w:rsidRPr="00844BF8" w14:paraId="22902F6A" w14:textId="77777777" w:rsidTr="008C1748">
        <w:tc>
          <w:tcPr>
            <w:tcW w:w="883" w:type="pct"/>
            <w:shd w:val="clear" w:color="auto" w:fill="FFFFFF" w:themeFill="background1"/>
          </w:tcPr>
          <w:p w14:paraId="6DC5776F" w14:textId="77777777" w:rsidR="00BB0CAC" w:rsidRPr="00F60D34" w:rsidRDefault="00BB0CAC" w:rsidP="000676D8">
            <w:pPr>
              <w:pStyle w:val="TableText"/>
            </w:pPr>
            <w:r w:rsidRPr="00F60D34">
              <w:t>Ministers of religion</w:t>
            </w:r>
          </w:p>
        </w:tc>
        <w:tc>
          <w:tcPr>
            <w:tcW w:w="567" w:type="pct"/>
            <w:shd w:val="clear" w:color="auto" w:fill="FFFFFF" w:themeFill="background1"/>
          </w:tcPr>
          <w:p w14:paraId="4B83CC25" w14:textId="77777777" w:rsidR="00BB0CAC" w:rsidRPr="00A96323" w:rsidRDefault="00BB0CAC" w:rsidP="000676D8">
            <w:pPr>
              <w:pStyle w:val="TableText"/>
              <w:rPr>
                <w:rStyle w:val="Emphasis"/>
              </w:rPr>
            </w:pPr>
            <w:r w:rsidRPr="00A96323">
              <w:rPr>
                <w:rStyle w:val="Emphasis"/>
              </w:rPr>
              <w:t>Section CE 1E</w:t>
            </w:r>
          </w:p>
          <w:p w14:paraId="1A3B73CC" w14:textId="77777777" w:rsidR="00BB0CAC" w:rsidRPr="00A96323" w:rsidRDefault="00BB0CAC" w:rsidP="000676D8">
            <w:pPr>
              <w:pStyle w:val="TableText"/>
              <w:rPr>
                <w:rStyle w:val="Emphasis"/>
              </w:rPr>
            </w:pPr>
            <w:r w:rsidRPr="00A96323">
              <w:rPr>
                <w:rStyle w:val="Emphasis"/>
              </w:rPr>
              <w:t>-Exemption</w:t>
            </w:r>
          </w:p>
        </w:tc>
        <w:tc>
          <w:tcPr>
            <w:tcW w:w="1015" w:type="pct"/>
            <w:shd w:val="clear" w:color="auto" w:fill="FFFFFF" w:themeFill="background1"/>
          </w:tcPr>
          <w:p w14:paraId="75D6101B" w14:textId="77777777" w:rsidR="00BB0CAC" w:rsidRDefault="00BB0CAC" w:rsidP="000676D8">
            <w:pPr>
              <w:pStyle w:val="TableText"/>
              <w:rPr>
                <w:color w:val="000000"/>
                <w:szCs w:val="16"/>
                <w:lang w:eastAsia="en-NZ"/>
              </w:rPr>
            </w:pPr>
            <w:r w:rsidRPr="00C253BC">
              <w:rPr>
                <w:rFonts w:cs="Arial"/>
                <w:color w:val="000000"/>
                <w:szCs w:val="16"/>
                <w:lang w:eastAsia="en-NZ"/>
              </w:rPr>
              <w:t>Exemption for both owned and rental accommodation supplied by religious bodies to their ministers (capped at a reasonable amount).</w:t>
            </w:r>
          </w:p>
        </w:tc>
        <w:tc>
          <w:tcPr>
            <w:tcW w:w="1015" w:type="pct"/>
            <w:shd w:val="clear" w:color="auto" w:fill="FFFFFF" w:themeFill="background1"/>
          </w:tcPr>
          <w:p w14:paraId="3034C216"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Subsidised accommodation enables and encourages ministers, who are generally low wage earners, to better perform their religious duties and provide a service to their communities (often the expectation parishioners can visit their home). </w:t>
            </w:r>
          </w:p>
        </w:tc>
        <w:tc>
          <w:tcPr>
            <w:tcW w:w="196" w:type="pct"/>
            <w:shd w:val="clear" w:color="auto" w:fill="FFFFFF" w:themeFill="background1"/>
            <w:tcMar>
              <w:left w:w="28" w:type="dxa"/>
              <w:right w:w="28" w:type="dxa"/>
            </w:tcMar>
          </w:tcPr>
          <w:p w14:paraId="73069D95" w14:textId="77777777" w:rsidR="00BB0CAC" w:rsidRPr="0000034F" w:rsidRDefault="00BB0CAC" w:rsidP="000676D8">
            <w:pPr>
              <w:pStyle w:val="TableText"/>
              <w:jc w:val="center"/>
            </w:pPr>
          </w:p>
        </w:tc>
        <w:tc>
          <w:tcPr>
            <w:tcW w:w="294" w:type="pct"/>
            <w:shd w:val="clear" w:color="auto" w:fill="FFFFFF" w:themeFill="background1"/>
            <w:tcMar>
              <w:left w:w="28" w:type="dxa"/>
              <w:right w:w="28" w:type="dxa"/>
            </w:tcMar>
          </w:tcPr>
          <w:p w14:paraId="5FD843EE" w14:textId="77777777" w:rsidR="00BB0CAC" w:rsidRPr="00E07D02" w:rsidRDefault="00BB0CAC" w:rsidP="000676D8">
            <w:pPr>
              <w:pStyle w:val="TableText"/>
              <w:jc w:val="center"/>
              <w:rPr>
                <w:rFonts w:ascii="Wingdings" w:hAnsi="Wingdings"/>
              </w:rPr>
            </w:pPr>
          </w:p>
        </w:tc>
        <w:tc>
          <w:tcPr>
            <w:tcW w:w="197" w:type="pct"/>
            <w:shd w:val="clear" w:color="auto" w:fill="FFFFFF" w:themeFill="background1"/>
            <w:tcMar>
              <w:left w:w="28" w:type="dxa"/>
              <w:right w:w="28" w:type="dxa"/>
            </w:tcMar>
          </w:tcPr>
          <w:p w14:paraId="06B2E365" w14:textId="77777777" w:rsidR="00BB0CAC" w:rsidRPr="0000034F" w:rsidRDefault="00BB0CAC" w:rsidP="000676D8">
            <w:pPr>
              <w:pStyle w:val="TableText"/>
              <w:jc w:val="center"/>
            </w:pPr>
            <w:r w:rsidRPr="00E07D02">
              <w:rPr>
                <w:rFonts w:ascii="Wingdings" w:hAnsi="Wingdings"/>
              </w:rPr>
              <w:t></w:t>
            </w:r>
          </w:p>
        </w:tc>
        <w:tc>
          <w:tcPr>
            <w:tcW w:w="245" w:type="pct"/>
            <w:shd w:val="clear" w:color="auto" w:fill="FFFFFF" w:themeFill="background1"/>
            <w:tcMar>
              <w:left w:w="28" w:type="dxa"/>
              <w:right w:w="28" w:type="dxa"/>
            </w:tcMar>
          </w:tcPr>
          <w:p w14:paraId="17CA5CAE" w14:textId="77777777" w:rsidR="00BB0CAC" w:rsidRPr="00E07D02" w:rsidRDefault="00BB0CAC" w:rsidP="000676D8">
            <w:pPr>
              <w:pStyle w:val="TableText"/>
              <w:jc w:val="center"/>
              <w:rPr>
                <w:rFonts w:ascii="Wingdings" w:hAnsi="Wingdings"/>
              </w:rPr>
            </w:pPr>
          </w:p>
        </w:tc>
        <w:tc>
          <w:tcPr>
            <w:tcW w:w="246" w:type="pct"/>
            <w:shd w:val="clear" w:color="auto" w:fill="FFFFFF" w:themeFill="background1"/>
            <w:tcMar>
              <w:left w:w="28" w:type="dxa"/>
              <w:right w:w="28" w:type="dxa"/>
            </w:tcMar>
          </w:tcPr>
          <w:p w14:paraId="49524186" w14:textId="77777777" w:rsidR="00BB0CAC" w:rsidRPr="00E07D02" w:rsidRDefault="00BB0CAC" w:rsidP="000676D8">
            <w:pPr>
              <w:pStyle w:val="TableText"/>
              <w:jc w:val="center"/>
              <w:rPr>
                <w:rFonts w:ascii="Wingdings" w:hAnsi="Wingdings"/>
              </w:rPr>
            </w:pPr>
          </w:p>
        </w:tc>
        <w:tc>
          <w:tcPr>
            <w:tcW w:w="342" w:type="pct"/>
            <w:shd w:val="clear" w:color="auto" w:fill="FFFFFF" w:themeFill="background1"/>
            <w:tcMar>
              <w:left w:w="28" w:type="dxa"/>
              <w:right w:w="28" w:type="dxa"/>
            </w:tcMar>
          </w:tcPr>
          <w:p w14:paraId="73A88200" w14:textId="77777777" w:rsidR="00BB0CAC" w:rsidRPr="0000034F" w:rsidRDefault="00BB0CAC" w:rsidP="000676D8">
            <w:pPr>
              <w:pStyle w:val="TableText"/>
              <w:jc w:val="center"/>
            </w:pPr>
            <w:r w:rsidRPr="00E07D02">
              <w:rPr>
                <w:rFonts w:ascii="Wingdings" w:hAnsi="Wingdings"/>
              </w:rPr>
              <w:t></w:t>
            </w:r>
          </w:p>
        </w:tc>
      </w:tr>
      <w:tr w:rsidR="00BB0CAC" w:rsidRPr="00844BF8" w14:paraId="3E05F5F0" w14:textId="77777777" w:rsidTr="008C1748">
        <w:tc>
          <w:tcPr>
            <w:tcW w:w="883" w:type="pct"/>
          </w:tcPr>
          <w:p w14:paraId="1077C143" w14:textId="77777777" w:rsidR="00BB0CAC" w:rsidRPr="00F60D34" w:rsidRDefault="00BB0CAC" w:rsidP="000676D8">
            <w:pPr>
              <w:pStyle w:val="TableText"/>
            </w:pPr>
            <w:r w:rsidRPr="00F60D34">
              <w:t>Canterbury rebuild</w:t>
            </w:r>
          </w:p>
        </w:tc>
        <w:tc>
          <w:tcPr>
            <w:tcW w:w="567" w:type="pct"/>
          </w:tcPr>
          <w:p w14:paraId="5D3DF351" w14:textId="77777777" w:rsidR="00BB0CAC" w:rsidRPr="00A96323" w:rsidRDefault="00BB0CAC" w:rsidP="000676D8">
            <w:pPr>
              <w:pStyle w:val="TableText"/>
              <w:rPr>
                <w:rStyle w:val="Emphasis"/>
              </w:rPr>
            </w:pPr>
            <w:r w:rsidRPr="00A96323">
              <w:rPr>
                <w:rStyle w:val="Emphasis"/>
              </w:rPr>
              <w:t>Section CZ 29</w:t>
            </w:r>
          </w:p>
          <w:p w14:paraId="2CAC4B4F" w14:textId="77777777" w:rsidR="00BB0CAC" w:rsidRPr="00A96323" w:rsidRDefault="00BB0CAC" w:rsidP="000676D8">
            <w:pPr>
              <w:pStyle w:val="TableText"/>
              <w:rPr>
                <w:rStyle w:val="Emphasis"/>
              </w:rPr>
            </w:pPr>
            <w:r w:rsidRPr="00A96323">
              <w:rPr>
                <w:rStyle w:val="Emphasis"/>
              </w:rPr>
              <w:t>-Exemption</w:t>
            </w:r>
          </w:p>
        </w:tc>
        <w:tc>
          <w:tcPr>
            <w:tcW w:w="1015" w:type="pct"/>
          </w:tcPr>
          <w:p w14:paraId="68D1EA37" w14:textId="77777777" w:rsidR="00BB0CAC" w:rsidRPr="00715640" w:rsidRDefault="00BB0CAC" w:rsidP="000676D8">
            <w:pPr>
              <w:pStyle w:val="TableText"/>
              <w:rPr>
                <w:rFonts w:cs="Arial"/>
                <w:color w:val="000000"/>
                <w:szCs w:val="16"/>
                <w:lang w:eastAsia="en-NZ"/>
              </w:rPr>
            </w:pPr>
            <w:r w:rsidRPr="00C253BC">
              <w:rPr>
                <w:rFonts w:cs="Arial"/>
                <w:szCs w:val="16"/>
              </w:rPr>
              <w:t>Transitional rule for employer-provided or paid accommodation for employees working on Canterbury earthquake rec</w:t>
            </w:r>
            <w:r>
              <w:rPr>
                <w:rFonts w:cs="Arial"/>
                <w:szCs w:val="16"/>
              </w:rPr>
              <w:t>onstruction projects from 4 Sep </w:t>
            </w:r>
            <w:r w:rsidRPr="00C253BC">
              <w:rPr>
                <w:rFonts w:cs="Arial"/>
                <w:szCs w:val="16"/>
              </w:rPr>
              <w:t>2010 to 31 March 2019.</w:t>
            </w:r>
          </w:p>
        </w:tc>
        <w:tc>
          <w:tcPr>
            <w:tcW w:w="1015" w:type="pct"/>
            <w:vAlign w:val="center"/>
          </w:tcPr>
          <w:p w14:paraId="58133BFC" w14:textId="77777777" w:rsidR="00BB0CAC" w:rsidRPr="00C253BC" w:rsidRDefault="00BB0CAC" w:rsidP="000676D8">
            <w:pPr>
              <w:pStyle w:val="TableText"/>
              <w:rPr>
                <w:rFonts w:cs="Arial"/>
                <w:color w:val="000000"/>
                <w:szCs w:val="16"/>
                <w:lang w:eastAsia="en-NZ"/>
              </w:rPr>
            </w:pPr>
          </w:p>
        </w:tc>
        <w:tc>
          <w:tcPr>
            <w:tcW w:w="196" w:type="pct"/>
            <w:tcMar>
              <w:left w:w="28" w:type="dxa"/>
              <w:right w:w="28" w:type="dxa"/>
            </w:tcMar>
          </w:tcPr>
          <w:p w14:paraId="74F123FC" w14:textId="77777777" w:rsidR="00BB0CAC" w:rsidRPr="0000034F" w:rsidRDefault="00BB0CAC" w:rsidP="000676D8">
            <w:pPr>
              <w:pStyle w:val="TableText"/>
              <w:jc w:val="center"/>
            </w:pPr>
          </w:p>
        </w:tc>
        <w:tc>
          <w:tcPr>
            <w:tcW w:w="294" w:type="pct"/>
            <w:tcMar>
              <w:left w:w="28" w:type="dxa"/>
              <w:right w:w="28" w:type="dxa"/>
            </w:tcMar>
          </w:tcPr>
          <w:p w14:paraId="61FE7AE6" w14:textId="77777777" w:rsidR="00BB0CAC" w:rsidRPr="00E07D02" w:rsidRDefault="00BB0CAC" w:rsidP="000676D8">
            <w:pPr>
              <w:pStyle w:val="TableText"/>
              <w:jc w:val="center"/>
              <w:rPr>
                <w:rFonts w:ascii="Wingdings" w:hAnsi="Wingdings"/>
              </w:rPr>
            </w:pPr>
          </w:p>
        </w:tc>
        <w:tc>
          <w:tcPr>
            <w:tcW w:w="197" w:type="pct"/>
            <w:tcMar>
              <w:left w:w="28" w:type="dxa"/>
              <w:right w:w="28" w:type="dxa"/>
            </w:tcMar>
          </w:tcPr>
          <w:p w14:paraId="7ABDA93C" w14:textId="77777777" w:rsidR="00BB0CAC" w:rsidRPr="00E07D02" w:rsidRDefault="00BB0CAC" w:rsidP="000676D8">
            <w:pPr>
              <w:pStyle w:val="TableText"/>
              <w:jc w:val="center"/>
              <w:rPr>
                <w:rFonts w:ascii="Wingdings" w:hAnsi="Wingdings"/>
              </w:rPr>
            </w:pPr>
            <w:r w:rsidRPr="00E07D02">
              <w:rPr>
                <w:rFonts w:ascii="Wingdings" w:hAnsi="Wingdings"/>
              </w:rPr>
              <w:t></w:t>
            </w:r>
          </w:p>
        </w:tc>
        <w:tc>
          <w:tcPr>
            <w:tcW w:w="245" w:type="pct"/>
            <w:tcMar>
              <w:left w:w="28" w:type="dxa"/>
              <w:right w:w="28" w:type="dxa"/>
            </w:tcMar>
          </w:tcPr>
          <w:p w14:paraId="59126146" w14:textId="77777777" w:rsidR="00BB0CAC" w:rsidRPr="00E07D02" w:rsidRDefault="00BB0CAC" w:rsidP="000676D8">
            <w:pPr>
              <w:pStyle w:val="TableText"/>
              <w:jc w:val="center"/>
              <w:rPr>
                <w:rFonts w:ascii="Wingdings" w:hAnsi="Wingdings"/>
              </w:rPr>
            </w:pPr>
          </w:p>
        </w:tc>
        <w:tc>
          <w:tcPr>
            <w:tcW w:w="246" w:type="pct"/>
            <w:tcMar>
              <w:left w:w="28" w:type="dxa"/>
              <w:right w:w="28" w:type="dxa"/>
            </w:tcMar>
          </w:tcPr>
          <w:p w14:paraId="312AABA6" w14:textId="77777777" w:rsidR="00BB0CAC" w:rsidRPr="00E07D02" w:rsidRDefault="00BB0CAC" w:rsidP="000676D8">
            <w:pPr>
              <w:pStyle w:val="TableText"/>
              <w:jc w:val="center"/>
              <w:rPr>
                <w:rFonts w:ascii="Wingdings" w:hAnsi="Wingdings"/>
              </w:rPr>
            </w:pPr>
          </w:p>
        </w:tc>
        <w:tc>
          <w:tcPr>
            <w:tcW w:w="342" w:type="pct"/>
            <w:tcMar>
              <w:left w:w="28" w:type="dxa"/>
              <w:right w:w="28" w:type="dxa"/>
            </w:tcMar>
          </w:tcPr>
          <w:p w14:paraId="4D07C463" w14:textId="77777777" w:rsidR="00BB0CAC" w:rsidRPr="00E07D02" w:rsidRDefault="00BB0CAC" w:rsidP="000676D8">
            <w:pPr>
              <w:pStyle w:val="TableText"/>
              <w:jc w:val="center"/>
              <w:rPr>
                <w:rFonts w:ascii="Wingdings" w:hAnsi="Wingdings"/>
              </w:rPr>
            </w:pPr>
            <w:r w:rsidRPr="00E07D02">
              <w:rPr>
                <w:rFonts w:ascii="Wingdings" w:hAnsi="Wingdings"/>
              </w:rPr>
              <w:t></w:t>
            </w:r>
          </w:p>
        </w:tc>
      </w:tr>
      <w:tr w:rsidR="00BB0CAC" w:rsidRPr="00844BF8" w14:paraId="4B23E6F3" w14:textId="77777777" w:rsidTr="008C1748">
        <w:tc>
          <w:tcPr>
            <w:tcW w:w="883" w:type="pct"/>
          </w:tcPr>
          <w:p w14:paraId="05B8C837" w14:textId="77777777" w:rsidR="00BB0CAC" w:rsidRPr="0000034F" w:rsidRDefault="00BB0CAC" w:rsidP="00FA1438">
            <w:pPr>
              <w:pStyle w:val="TableText"/>
              <w:pageBreakBefore/>
              <w:spacing w:before="40" w:after="40"/>
            </w:pPr>
            <w:r>
              <w:lastRenderedPageBreak/>
              <w:t>Allowances of the Governor-General</w:t>
            </w:r>
          </w:p>
        </w:tc>
        <w:tc>
          <w:tcPr>
            <w:tcW w:w="567" w:type="pct"/>
          </w:tcPr>
          <w:p w14:paraId="1CE59929" w14:textId="77777777" w:rsidR="00BB0CAC" w:rsidRPr="00A96323" w:rsidRDefault="00BB0CAC" w:rsidP="00FA1438">
            <w:pPr>
              <w:pStyle w:val="TableText"/>
              <w:spacing w:before="40" w:after="40"/>
              <w:rPr>
                <w:rStyle w:val="Emphasis"/>
              </w:rPr>
            </w:pPr>
            <w:r w:rsidRPr="00A96323">
              <w:rPr>
                <w:rStyle w:val="Emphasis"/>
              </w:rPr>
              <w:t>Section CW 16</w:t>
            </w:r>
          </w:p>
          <w:p w14:paraId="2F316FB2" w14:textId="77777777" w:rsidR="00BB0CAC" w:rsidRPr="00A96323" w:rsidRDefault="00BB0CAC" w:rsidP="00FA1438">
            <w:pPr>
              <w:pStyle w:val="TableText"/>
              <w:spacing w:before="40" w:after="40"/>
              <w:rPr>
                <w:iCs/>
              </w:rPr>
            </w:pPr>
            <w:r w:rsidRPr="00A96323">
              <w:rPr>
                <w:rStyle w:val="Emphasis"/>
              </w:rPr>
              <w:t>-Exemption</w:t>
            </w:r>
          </w:p>
        </w:tc>
        <w:tc>
          <w:tcPr>
            <w:tcW w:w="1015" w:type="pct"/>
          </w:tcPr>
          <w:p w14:paraId="1696C32D" w14:textId="77777777" w:rsidR="00BB0CAC" w:rsidRDefault="00BB0CAC" w:rsidP="00FA1438">
            <w:pPr>
              <w:pStyle w:val="TableText"/>
              <w:spacing w:before="40" w:after="40"/>
              <w:rPr>
                <w:rFonts w:cs="Arial"/>
                <w:szCs w:val="16"/>
              </w:rPr>
            </w:pPr>
            <w:r>
              <w:rPr>
                <w:rFonts w:cs="Arial"/>
                <w:szCs w:val="16"/>
              </w:rPr>
              <w:t xml:space="preserve">Allowances and benefits received by the Governor-General and former Governor-Generals under the </w:t>
            </w:r>
            <w:r w:rsidRPr="00B81BCE">
              <w:rPr>
                <w:rFonts w:cs="Arial"/>
                <w:i/>
                <w:szCs w:val="16"/>
              </w:rPr>
              <w:t>Governor-General Act 2010</w:t>
            </w:r>
            <w:r>
              <w:rPr>
                <w:rFonts w:cs="Arial"/>
                <w:szCs w:val="16"/>
              </w:rPr>
              <w:t xml:space="preserve"> are exempt from tax.</w:t>
            </w:r>
          </w:p>
        </w:tc>
        <w:tc>
          <w:tcPr>
            <w:tcW w:w="1015" w:type="pct"/>
          </w:tcPr>
          <w:p w14:paraId="30CA6213" w14:textId="77777777" w:rsidR="00BB0CAC" w:rsidRPr="00C253BC" w:rsidRDefault="00BB0CAC" w:rsidP="00FA1438">
            <w:pPr>
              <w:pStyle w:val="TableText"/>
              <w:spacing w:before="40" w:after="40"/>
              <w:rPr>
                <w:rFonts w:cs="Arial"/>
              </w:rPr>
            </w:pPr>
            <w:r>
              <w:rPr>
                <w:rFonts w:cs="Arial"/>
                <w:color w:val="000000"/>
              </w:rPr>
              <w:t xml:space="preserve">Administrative convenience, as the </w:t>
            </w:r>
            <w:r w:rsidRPr="00C253BC">
              <w:rPr>
                <w:rFonts w:cs="Arial"/>
                <w:color w:val="000000"/>
              </w:rPr>
              <w:t>Governor-General</w:t>
            </w:r>
            <w:r>
              <w:rPr>
                <w:rFonts w:cs="Arial"/>
                <w:color w:val="000000"/>
              </w:rPr>
              <w:t>’</w:t>
            </w:r>
            <w:r w:rsidRPr="00C253BC">
              <w:rPr>
                <w:rFonts w:cs="Arial"/>
                <w:color w:val="000000"/>
              </w:rPr>
              <w:t xml:space="preserve">s allowance covers both personal and office expenses. </w:t>
            </w:r>
          </w:p>
        </w:tc>
        <w:tc>
          <w:tcPr>
            <w:tcW w:w="196" w:type="pct"/>
            <w:tcMar>
              <w:left w:w="28" w:type="dxa"/>
              <w:right w:w="28" w:type="dxa"/>
            </w:tcMar>
          </w:tcPr>
          <w:p w14:paraId="5F214CBD" w14:textId="77777777" w:rsidR="00BB0CAC" w:rsidRPr="0000034F" w:rsidRDefault="00BB0CAC" w:rsidP="00FA1438">
            <w:pPr>
              <w:pStyle w:val="TableText"/>
              <w:spacing w:before="40" w:after="40"/>
              <w:jc w:val="center"/>
            </w:pPr>
          </w:p>
        </w:tc>
        <w:tc>
          <w:tcPr>
            <w:tcW w:w="294" w:type="pct"/>
            <w:tcMar>
              <w:left w:w="28" w:type="dxa"/>
              <w:right w:w="28" w:type="dxa"/>
            </w:tcMar>
          </w:tcPr>
          <w:p w14:paraId="1B89E6B3" w14:textId="77777777" w:rsidR="00BB0CAC" w:rsidRPr="00E07D02" w:rsidRDefault="00BB0CAC" w:rsidP="00FA1438">
            <w:pPr>
              <w:pStyle w:val="TableText"/>
              <w:spacing w:before="40" w:after="40"/>
              <w:jc w:val="center"/>
              <w:rPr>
                <w:rFonts w:ascii="Wingdings" w:hAnsi="Wingdings"/>
              </w:rPr>
            </w:pPr>
          </w:p>
        </w:tc>
        <w:tc>
          <w:tcPr>
            <w:tcW w:w="197" w:type="pct"/>
            <w:tcMar>
              <w:left w:w="28" w:type="dxa"/>
              <w:right w:w="28" w:type="dxa"/>
            </w:tcMar>
          </w:tcPr>
          <w:p w14:paraId="1464140E" w14:textId="77777777" w:rsidR="00BB0CAC" w:rsidRPr="0000034F" w:rsidRDefault="00BB0CAC" w:rsidP="00FA1438">
            <w:pPr>
              <w:pStyle w:val="TableText"/>
              <w:spacing w:before="40" w:after="40"/>
              <w:jc w:val="center"/>
            </w:pPr>
            <w:r w:rsidRPr="00E07D02">
              <w:rPr>
                <w:rFonts w:ascii="Wingdings" w:hAnsi="Wingdings"/>
              </w:rPr>
              <w:t></w:t>
            </w:r>
          </w:p>
        </w:tc>
        <w:tc>
          <w:tcPr>
            <w:tcW w:w="245" w:type="pct"/>
            <w:tcMar>
              <w:left w:w="28" w:type="dxa"/>
              <w:right w:w="28" w:type="dxa"/>
            </w:tcMar>
          </w:tcPr>
          <w:p w14:paraId="5E622B4F" w14:textId="77777777" w:rsidR="00BB0CAC" w:rsidRPr="00E07D02" w:rsidRDefault="00BB0CAC" w:rsidP="00FA1438">
            <w:pPr>
              <w:pStyle w:val="TableText"/>
              <w:spacing w:before="40" w:after="40"/>
              <w:jc w:val="center"/>
              <w:rPr>
                <w:rFonts w:ascii="Wingdings" w:hAnsi="Wingdings"/>
              </w:rPr>
            </w:pPr>
          </w:p>
        </w:tc>
        <w:tc>
          <w:tcPr>
            <w:tcW w:w="246" w:type="pct"/>
            <w:tcMar>
              <w:left w:w="28" w:type="dxa"/>
              <w:right w:w="28" w:type="dxa"/>
            </w:tcMar>
          </w:tcPr>
          <w:p w14:paraId="772467D0" w14:textId="77777777" w:rsidR="00BB0CAC" w:rsidRPr="00E07D02" w:rsidRDefault="00BB0CAC" w:rsidP="00FA1438">
            <w:pPr>
              <w:pStyle w:val="TableText"/>
              <w:spacing w:before="40" w:after="40"/>
              <w:jc w:val="center"/>
              <w:rPr>
                <w:rFonts w:ascii="Wingdings" w:hAnsi="Wingdings"/>
              </w:rPr>
            </w:pPr>
          </w:p>
        </w:tc>
        <w:tc>
          <w:tcPr>
            <w:tcW w:w="342" w:type="pct"/>
            <w:tcMar>
              <w:left w:w="28" w:type="dxa"/>
              <w:right w:w="28" w:type="dxa"/>
            </w:tcMar>
          </w:tcPr>
          <w:p w14:paraId="4AAF88E7" w14:textId="77777777" w:rsidR="00BB0CAC" w:rsidRPr="0000034F" w:rsidRDefault="00BB0CAC" w:rsidP="00FA1438">
            <w:pPr>
              <w:pStyle w:val="TableText"/>
              <w:spacing w:before="40" w:after="40"/>
              <w:jc w:val="center"/>
            </w:pPr>
            <w:r w:rsidRPr="00E07D02">
              <w:rPr>
                <w:rFonts w:ascii="Wingdings" w:hAnsi="Wingdings"/>
              </w:rPr>
              <w:t></w:t>
            </w:r>
          </w:p>
        </w:tc>
      </w:tr>
      <w:tr w:rsidR="00BB0CAC" w:rsidRPr="00844BF8" w14:paraId="6E58537B" w14:textId="77777777" w:rsidTr="008C1748">
        <w:tc>
          <w:tcPr>
            <w:tcW w:w="883" w:type="pct"/>
          </w:tcPr>
          <w:p w14:paraId="3B5FDABC" w14:textId="77777777" w:rsidR="00BB0CAC" w:rsidRPr="00825723" w:rsidRDefault="00BB0CAC" w:rsidP="00FA1438">
            <w:pPr>
              <w:pStyle w:val="TableText"/>
              <w:spacing w:before="40" w:after="40"/>
            </w:pPr>
            <w:r w:rsidRPr="00825723">
              <w:t>Bloodstock</w:t>
            </w:r>
            <w:r>
              <w:t>: accelerated deductions</w:t>
            </w:r>
            <w:r w:rsidRPr="00825723">
              <w:t xml:space="preserve"> </w:t>
            </w:r>
          </w:p>
        </w:tc>
        <w:tc>
          <w:tcPr>
            <w:tcW w:w="567" w:type="pct"/>
          </w:tcPr>
          <w:p w14:paraId="67572BB2" w14:textId="77777777" w:rsidR="00BB0CAC" w:rsidRPr="00A96323" w:rsidRDefault="00BB0CAC" w:rsidP="00FA1438">
            <w:pPr>
              <w:pStyle w:val="TableText"/>
              <w:spacing w:before="40" w:after="40"/>
              <w:rPr>
                <w:rStyle w:val="Emphasis"/>
              </w:rPr>
            </w:pPr>
            <w:r w:rsidRPr="00A96323">
              <w:rPr>
                <w:rStyle w:val="Emphasis"/>
              </w:rPr>
              <w:t>Sections EC 38-48</w:t>
            </w:r>
          </w:p>
          <w:p w14:paraId="16343DDC" w14:textId="77777777" w:rsidR="00BB0CAC" w:rsidRPr="00A96323" w:rsidRDefault="00BB0CAC" w:rsidP="00FA1438">
            <w:pPr>
              <w:pStyle w:val="TableText"/>
              <w:spacing w:before="40" w:after="40"/>
              <w:rPr>
                <w:rStyle w:val="Emphasis"/>
              </w:rPr>
            </w:pPr>
            <w:r w:rsidRPr="00A96323">
              <w:rPr>
                <w:rStyle w:val="Emphasis"/>
              </w:rPr>
              <w:t>-Accelerated write-off</w:t>
            </w:r>
          </w:p>
        </w:tc>
        <w:tc>
          <w:tcPr>
            <w:tcW w:w="1015" w:type="pct"/>
          </w:tcPr>
          <w:p w14:paraId="6D35CD80" w14:textId="77777777" w:rsidR="00BB0CAC" w:rsidRPr="00D45E34" w:rsidRDefault="00BB0CAC" w:rsidP="00FA1438">
            <w:pPr>
              <w:pStyle w:val="TableText"/>
              <w:spacing w:before="40" w:after="40"/>
              <w:rPr>
                <w:szCs w:val="16"/>
              </w:rPr>
            </w:pPr>
            <w:r w:rsidRPr="00D45E34">
              <w:rPr>
                <w:szCs w:val="16"/>
              </w:rPr>
              <w:t xml:space="preserve">Both the timing and rate of write downs are accelerated when compared with an economic approach.  </w:t>
            </w:r>
          </w:p>
        </w:tc>
        <w:tc>
          <w:tcPr>
            <w:tcW w:w="1015" w:type="pct"/>
          </w:tcPr>
          <w:p w14:paraId="4419AAA0" w14:textId="77777777" w:rsidR="00BB0CAC" w:rsidRPr="00D45E34" w:rsidRDefault="00BB0CAC" w:rsidP="00FA1438">
            <w:pPr>
              <w:pStyle w:val="TableText"/>
              <w:spacing w:before="40" w:after="40"/>
            </w:pPr>
            <w:r w:rsidRPr="00D45E34">
              <w:t>To encourage the ownership and breeding of stallions and broodmares.</w:t>
            </w:r>
          </w:p>
        </w:tc>
        <w:tc>
          <w:tcPr>
            <w:tcW w:w="196" w:type="pct"/>
            <w:tcMar>
              <w:left w:w="28" w:type="dxa"/>
              <w:right w:w="28" w:type="dxa"/>
            </w:tcMar>
          </w:tcPr>
          <w:p w14:paraId="27B3912C" w14:textId="77777777" w:rsidR="00BB0CAC" w:rsidRPr="00E07D02" w:rsidRDefault="00BB0CAC" w:rsidP="00FA1438">
            <w:pPr>
              <w:pStyle w:val="TableText"/>
              <w:spacing w:before="40" w:after="40"/>
              <w:jc w:val="center"/>
              <w:rPr>
                <w:rFonts w:ascii="Wingdings" w:hAnsi="Wingdings"/>
              </w:rPr>
            </w:pPr>
          </w:p>
        </w:tc>
        <w:tc>
          <w:tcPr>
            <w:tcW w:w="294" w:type="pct"/>
            <w:tcMar>
              <w:left w:w="28" w:type="dxa"/>
              <w:right w:w="28" w:type="dxa"/>
            </w:tcMar>
          </w:tcPr>
          <w:p w14:paraId="2ED4FEAE" w14:textId="77777777" w:rsidR="00BB0CAC" w:rsidRPr="00825723" w:rsidRDefault="00BB0CAC" w:rsidP="00FA1438">
            <w:pPr>
              <w:pStyle w:val="TableText"/>
              <w:spacing w:before="40" w:after="40"/>
              <w:jc w:val="center"/>
            </w:pPr>
            <w:r w:rsidRPr="00E07D02">
              <w:rPr>
                <w:rFonts w:ascii="Wingdings" w:hAnsi="Wingdings"/>
              </w:rPr>
              <w:t></w:t>
            </w:r>
          </w:p>
        </w:tc>
        <w:tc>
          <w:tcPr>
            <w:tcW w:w="197" w:type="pct"/>
            <w:tcMar>
              <w:left w:w="28" w:type="dxa"/>
              <w:right w:w="28" w:type="dxa"/>
            </w:tcMar>
          </w:tcPr>
          <w:p w14:paraId="3C3B2DCE" w14:textId="77777777" w:rsidR="00BB0CAC" w:rsidRPr="00825723" w:rsidRDefault="00BB0CAC" w:rsidP="00FA1438">
            <w:pPr>
              <w:pStyle w:val="TableText"/>
              <w:spacing w:before="40" w:after="40"/>
              <w:jc w:val="center"/>
            </w:pPr>
          </w:p>
        </w:tc>
        <w:tc>
          <w:tcPr>
            <w:tcW w:w="245" w:type="pct"/>
            <w:tcMar>
              <w:left w:w="28" w:type="dxa"/>
              <w:right w:w="28" w:type="dxa"/>
            </w:tcMar>
          </w:tcPr>
          <w:p w14:paraId="45591473" w14:textId="77777777" w:rsidR="00BB0CAC" w:rsidRPr="00825723" w:rsidRDefault="00BB0CAC" w:rsidP="00FA1438">
            <w:pPr>
              <w:pStyle w:val="TableText"/>
              <w:spacing w:before="40" w:after="40"/>
              <w:jc w:val="center"/>
            </w:pPr>
          </w:p>
        </w:tc>
        <w:tc>
          <w:tcPr>
            <w:tcW w:w="246" w:type="pct"/>
            <w:tcMar>
              <w:left w:w="28" w:type="dxa"/>
              <w:right w:w="28" w:type="dxa"/>
            </w:tcMar>
          </w:tcPr>
          <w:p w14:paraId="057246BD" w14:textId="77777777" w:rsidR="00BB0CAC" w:rsidRPr="00825723" w:rsidRDefault="00BB0CAC" w:rsidP="00FA1438">
            <w:pPr>
              <w:pStyle w:val="TableText"/>
              <w:spacing w:before="40" w:after="40"/>
              <w:jc w:val="center"/>
            </w:pPr>
            <w:r w:rsidRPr="00E07D02">
              <w:rPr>
                <w:rFonts w:ascii="Wingdings" w:hAnsi="Wingdings"/>
              </w:rPr>
              <w:t></w:t>
            </w:r>
          </w:p>
        </w:tc>
        <w:tc>
          <w:tcPr>
            <w:tcW w:w="342" w:type="pct"/>
            <w:tcMar>
              <w:left w:w="28" w:type="dxa"/>
              <w:right w:w="28" w:type="dxa"/>
            </w:tcMar>
          </w:tcPr>
          <w:p w14:paraId="0C1074AA" w14:textId="77777777" w:rsidR="00BB0CAC" w:rsidRPr="00E07D02" w:rsidRDefault="00BB0CAC" w:rsidP="00FA1438">
            <w:pPr>
              <w:pStyle w:val="TableText"/>
              <w:spacing w:before="40" w:after="40"/>
              <w:jc w:val="center"/>
              <w:rPr>
                <w:rFonts w:ascii="Wingdings" w:hAnsi="Wingdings"/>
              </w:rPr>
            </w:pPr>
          </w:p>
        </w:tc>
      </w:tr>
      <w:tr w:rsidR="00BB0CAC" w:rsidRPr="00844BF8" w14:paraId="1E4512FB" w14:textId="77777777" w:rsidTr="008C1748">
        <w:tc>
          <w:tcPr>
            <w:tcW w:w="883" w:type="pct"/>
          </w:tcPr>
          <w:p w14:paraId="4D877897" w14:textId="77777777" w:rsidR="00BB0CAC" w:rsidRPr="00825723" w:rsidRDefault="00BB0CAC" w:rsidP="00FA1438">
            <w:pPr>
              <w:pStyle w:val="TableText"/>
              <w:spacing w:before="40" w:after="40"/>
            </w:pPr>
            <w:r w:rsidRPr="00825723">
              <w:t>Bodies promoting amateur games and sports: exempt income</w:t>
            </w:r>
          </w:p>
        </w:tc>
        <w:tc>
          <w:tcPr>
            <w:tcW w:w="567" w:type="pct"/>
          </w:tcPr>
          <w:p w14:paraId="612A09B4" w14:textId="77777777" w:rsidR="00BB0CAC" w:rsidRPr="00A96323" w:rsidRDefault="00BB0CAC" w:rsidP="00FA1438">
            <w:pPr>
              <w:pStyle w:val="TableText"/>
              <w:spacing w:before="40" w:after="40"/>
              <w:rPr>
                <w:rStyle w:val="Emphasis"/>
              </w:rPr>
            </w:pPr>
            <w:r w:rsidRPr="00A96323">
              <w:rPr>
                <w:rStyle w:val="Emphasis"/>
              </w:rPr>
              <w:t>Section CW 46</w:t>
            </w:r>
          </w:p>
          <w:p w14:paraId="24C317DB" w14:textId="77777777" w:rsidR="00BB0CAC" w:rsidRPr="00A96323" w:rsidRDefault="00BB0CAC" w:rsidP="00FA1438">
            <w:pPr>
              <w:pStyle w:val="TableText"/>
              <w:spacing w:before="40" w:after="40"/>
              <w:rPr>
                <w:rStyle w:val="Emphasis"/>
              </w:rPr>
            </w:pPr>
            <w:r w:rsidRPr="00A96323">
              <w:rPr>
                <w:rStyle w:val="Emphasis"/>
              </w:rPr>
              <w:t>-Exemption</w:t>
            </w:r>
          </w:p>
        </w:tc>
        <w:tc>
          <w:tcPr>
            <w:tcW w:w="1015" w:type="pct"/>
          </w:tcPr>
          <w:p w14:paraId="6B7701C0" w14:textId="77777777" w:rsidR="00BB0CAC" w:rsidRDefault="00BB0CAC" w:rsidP="00FA1438">
            <w:pPr>
              <w:pStyle w:val="TableText"/>
              <w:spacing w:before="40" w:after="40"/>
              <w:rPr>
                <w:rFonts w:cs="Arial"/>
                <w:szCs w:val="16"/>
              </w:rPr>
            </w:pPr>
            <w:r w:rsidRPr="00CD766A">
              <w:rPr>
                <w:rFonts w:cs="Arial"/>
                <w:szCs w:val="16"/>
              </w:rPr>
              <w:t xml:space="preserve">Income derived by a club, society or association is exempt income, providing it is established to promote an amateur game or sport and no funds are used for private </w:t>
            </w:r>
            <w:r w:rsidRPr="007D63D0">
              <w:rPr>
                <w:rFonts w:cs="Arial"/>
                <w:szCs w:val="16"/>
              </w:rPr>
              <w:t>pecuniary</w:t>
            </w:r>
            <w:r w:rsidRPr="00CD766A">
              <w:rPr>
                <w:rFonts w:cs="Arial"/>
                <w:szCs w:val="16"/>
              </w:rPr>
              <w:t xml:space="preserve"> profit.</w:t>
            </w:r>
          </w:p>
        </w:tc>
        <w:tc>
          <w:tcPr>
            <w:tcW w:w="1015" w:type="pct"/>
          </w:tcPr>
          <w:p w14:paraId="4F8B10BE" w14:textId="77777777" w:rsidR="00BB0CAC" w:rsidRPr="00C253BC" w:rsidRDefault="00BB0CAC" w:rsidP="00FA1438">
            <w:pPr>
              <w:pStyle w:val="TableText"/>
              <w:spacing w:before="40" w:after="40"/>
              <w:rPr>
                <w:rFonts w:cs="Arial"/>
              </w:rPr>
            </w:pPr>
            <w:r w:rsidRPr="00C253BC">
              <w:rPr>
                <w:rFonts w:cs="Arial"/>
                <w:color w:val="000000"/>
              </w:rPr>
              <w:t>To encourage amateur games or sport</w:t>
            </w:r>
            <w:r>
              <w:rPr>
                <w:rFonts w:cs="Arial"/>
                <w:color w:val="000000"/>
              </w:rPr>
              <w:t>s</w:t>
            </w:r>
            <w:r w:rsidRPr="00C253BC">
              <w:rPr>
                <w:rFonts w:cs="Arial"/>
                <w:color w:val="000000"/>
              </w:rPr>
              <w:t xml:space="preserve"> which have the purpose of </w:t>
            </w:r>
            <w:r>
              <w:rPr>
                <w:rFonts w:cs="Arial"/>
                <w:color w:val="000000"/>
              </w:rPr>
              <w:t>promoting physical activity across generations for the general well-being of society.</w:t>
            </w:r>
          </w:p>
        </w:tc>
        <w:tc>
          <w:tcPr>
            <w:tcW w:w="196" w:type="pct"/>
            <w:tcMar>
              <w:left w:w="28" w:type="dxa"/>
              <w:right w:w="28" w:type="dxa"/>
            </w:tcMar>
          </w:tcPr>
          <w:p w14:paraId="250E3BBE" w14:textId="77777777" w:rsidR="00BB0CAC" w:rsidRPr="00825723" w:rsidRDefault="00BB0CAC" w:rsidP="00FA1438">
            <w:pPr>
              <w:pStyle w:val="TableText"/>
              <w:spacing w:before="40" w:after="40"/>
              <w:jc w:val="center"/>
            </w:pPr>
            <w:r w:rsidRPr="00E07D02">
              <w:rPr>
                <w:rFonts w:ascii="Wingdings" w:hAnsi="Wingdings"/>
              </w:rPr>
              <w:t></w:t>
            </w:r>
          </w:p>
        </w:tc>
        <w:tc>
          <w:tcPr>
            <w:tcW w:w="294" w:type="pct"/>
            <w:tcMar>
              <w:left w:w="28" w:type="dxa"/>
              <w:right w:w="28" w:type="dxa"/>
            </w:tcMar>
          </w:tcPr>
          <w:p w14:paraId="2E169F06" w14:textId="77777777" w:rsidR="00BB0CAC" w:rsidRPr="00825723" w:rsidRDefault="00BB0CAC" w:rsidP="00FA1438">
            <w:pPr>
              <w:pStyle w:val="TableText"/>
              <w:spacing w:before="40" w:after="40"/>
              <w:jc w:val="center"/>
            </w:pPr>
          </w:p>
        </w:tc>
        <w:tc>
          <w:tcPr>
            <w:tcW w:w="197" w:type="pct"/>
            <w:tcMar>
              <w:left w:w="28" w:type="dxa"/>
              <w:right w:w="28" w:type="dxa"/>
            </w:tcMar>
          </w:tcPr>
          <w:p w14:paraId="34DF6918" w14:textId="77777777" w:rsidR="00BB0CAC" w:rsidRPr="00825723" w:rsidRDefault="00BB0CAC" w:rsidP="00FA1438">
            <w:pPr>
              <w:pStyle w:val="TableText"/>
              <w:spacing w:before="40" w:after="40"/>
              <w:jc w:val="center"/>
            </w:pPr>
          </w:p>
        </w:tc>
        <w:tc>
          <w:tcPr>
            <w:tcW w:w="245" w:type="pct"/>
            <w:tcMar>
              <w:left w:w="28" w:type="dxa"/>
              <w:right w:w="28" w:type="dxa"/>
            </w:tcMar>
          </w:tcPr>
          <w:p w14:paraId="79CF953B" w14:textId="77777777" w:rsidR="00BB0CAC" w:rsidRPr="00825723" w:rsidRDefault="00BB0CAC" w:rsidP="00FA1438">
            <w:pPr>
              <w:pStyle w:val="TableText"/>
              <w:spacing w:before="40" w:after="40"/>
              <w:jc w:val="center"/>
            </w:pPr>
          </w:p>
        </w:tc>
        <w:tc>
          <w:tcPr>
            <w:tcW w:w="246" w:type="pct"/>
            <w:tcMar>
              <w:left w:w="28" w:type="dxa"/>
              <w:right w:w="28" w:type="dxa"/>
            </w:tcMar>
          </w:tcPr>
          <w:p w14:paraId="2B9CFEA2" w14:textId="77777777" w:rsidR="00BB0CAC" w:rsidRPr="00825723" w:rsidRDefault="00BB0CAC" w:rsidP="00FA1438">
            <w:pPr>
              <w:pStyle w:val="TableText"/>
              <w:spacing w:before="40" w:after="40"/>
              <w:jc w:val="center"/>
            </w:pPr>
          </w:p>
        </w:tc>
        <w:tc>
          <w:tcPr>
            <w:tcW w:w="342" w:type="pct"/>
            <w:tcMar>
              <w:left w:w="28" w:type="dxa"/>
              <w:right w:w="28" w:type="dxa"/>
            </w:tcMar>
          </w:tcPr>
          <w:p w14:paraId="40E14C9E" w14:textId="77777777" w:rsidR="00BB0CAC" w:rsidRPr="00825723" w:rsidRDefault="00BB0CAC" w:rsidP="00FA1438">
            <w:pPr>
              <w:pStyle w:val="TableText"/>
              <w:spacing w:before="40" w:after="40"/>
              <w:jc w:val="center"/>
            </w:pPr>
            <w:r w:rsidRPr="00E07D02">
              <w:rPr>
                <w:rFonts w:ascii="Wingdings" w:hAnsi="Wingdings"/>
              </w:rPr>
              <w:t></w:t>
            </w:r>
          </w:p>
        </w:tc>
      </w:tr>
      <w:tr w:rsidR="00BB0CAC" w:rsidRPr="00844BF8" w14:paraId="591FE376" w14:textId="77777777" w:rsidTr="008C1748">
        <w:tc>
          <w:tcPr>
            <w:tcW w:w="883" w:type="pct"/>
          </w:tcPr>
          <w:p w14:paraId="5AF5E8E5" w14:textId="77777777" w:rsidR="00BB0CAC" w:rsidRPr="00825723" w:rsidRDefault="00BB0CAC" w:rsidP="00FA1438">
            <w:pPr>
              <w:pStyle w:val="TableText"/>
              <w:spacing w:before="40" w:after="40"/>
            </w:pPr>
            <w:r w:rsidRPr="00825723">
              <w:t>Bodies promoting scientific or industrial research: exempt income</w:t>
            </w:r>
          </w:p>
        </w:tc>
        <w:tc>
          <w:tcPr>
            <w:tcW w:w="567" w:type="pct"/>
          </w:tcPr>
          <w:p w14:paraId="26F47E7F" w14:textId="77777777" w:rsidR="00BB0CAC" w:rsidRPr="00A96323" w:rsidRDefault="00BB0CAC" w:rsidP="00FA1438">
            <w:pPr>
              <w:pStyle w:val="TableText"/>
              <w:spacing w:before="40" w:after="40"/>
              <w:rPr>
                <w:rStyle w:val="Emphasis"/>
              </w:rPr>
            </w:pPr>
            <w:r w:rsidRPr="00A96323">
              <w:rPr>
                <w:rStyle w:val="Emphasis"/>
              </w:rPr>
              <w:t>Section CW 49</w:t>
            </w:r>
          </w:p>
          <w:p w14:paraId="0CA597CB" w14:textId="77777777" w:rsidR="00BB0CAC" w:rsidRPr="00A96323" w:rsidRDefault="00BB0CAC" w:rsidP="00FA1438">
            <w:pPr>
              <w:pStyle w:val="TableText"/>
              <w:spacing w:before="40" w:after="40"/>
              <w:rPr>
                <w:rStyle w:val="Emphasis"/>
              </w:rPr>
            </w:pPr>
            <w:r w:rsidRPr="00A96323">
              <w:rPr>
                <w:rStyle w:val="Emphasis"/>
              </w:rPr>
              <w:t>-Exemption</w:t>
            </w:r>
          </w:p>
        </w:tc>
        <w:tc>
          <w:tcPr>
            <w:tcW w:w="1015" w:type="pct"/>
          </w:tcPr>
          <w:p w14:paraId="47BD0F6D" w14:textId="77777777" w:rsidR="00BB0CAC" w:rsidRDefault="00BB0CAC" w:rsidP="00FA1438">
            <w:pPr>
              <w:pStyle w:val="TableText"/>
              <w:spacing w:before="40" w:after="40"/>
              <w:rPr>
                <w:rFonts w:cs="Arial"/>
                <w:szCs w:val="16"/>
              </w:rPr>
            </w:pPr>
            <w:r w:rsidRPr="00CD766A">
              <w:rPr>
                <w:rFonts w:cs="Arial"/>
                <w:szCs w:val="16"/>
              </w:rPr>
              <w:t xml:space="preserve">Income derived by a society or association established mainly to promote or encourage scientific or industrial research is exempt income, providing the society or association is approved by the Royal Society of New Zealand and no funds are used for private </w:t>
            </w:r>
            <w:r w:rsidRPr="007D63D0">
              <w:rPr>
                <w:rFonts w:cs="Arial"/>
                <w:szCs w:val="16"/>
              </w:rPr>
              <w:t>pecuniary</w:t>
            </w:r>
            <w:r w:rsidRPr="00CD766A">
              <w:rPr>
                <w:rFonts w:cs="Arial"/>
                <w:szCs w:val="16"/>
              </w:rPr>
              <w:t xml:space="preserve"> profit.</w:t>
            </w:r>
          </w:p>
        </w:tc>
        <w:tc>
          <w:tcPr>
            <w:tcW w:w="1015" w:type="pct"/>
          </w:tcPr>
          <w:p w14:paraId="3B05A9C8" w14:textId="77777777" w:rsidR="00BB0CAC" w:rsidRPr="00C253BC" w:rsidRDefault="00BB0CAC" w:rsidP="00FA1438">
            <w:pPr>
              <w:pStyle w:val="TableText"/>
              <w:spacing w:before="40" w:after="40"/>
              <w:rPr>
                <w:rFonts w:cs="Arial"/>
              </w:rPr>
            </w:pPr>
            <w:r w:rsidRPr="00C253BC">
              <w:rPr>
                <w:rFonts w:cs="Arial"/>
                <w:color w:val="000000"/>
              </w:rPr>
              <w:t>To encourage research that is of national interest, and ensure these institutions are on a level playing field with</w:t>
            </w:r>
            <w:r>
              <w:rPr>
                <w:rFonts w:cs="Arial"/>
                <w:color w:val="000000"/>
              </w:rPr>
              <w:t xml:space="preserve"> other tax exempt organisations.</w:t>
            </w:r>
          </w:p>
        </w:tc>
        <w:tc>
          <w:tcPr>
            <w:tcW w:w="196" w:type="pct"/>
            <w:tcMar>
              <w:left w:w="28" w:type="dxa"/>
              <w:right w:w="28" w:type="dxa"/>
            </w:tcMar>
          </w:tcPr>
          <w:p w14:paraId="634F27AF" w14:textId="77777777" w:rsidR="00BB0CAC" w:rsidRPr="00825723" w:rsidRDefault="00BB0CAC" w:rsidP="00FA1438">
            <w:pPr>
              <w:pStyle w:val="TableText"/>
              <w:spacing w:before="40" w:after="40"/>
              <w:jc w:val="center"/>
            </w:pPr>
          </w:p>
        </w:tc>
        <w:tc>
          <w:tcPr>
            <w:tcW w:w="294" w:type="pct"/>
            <w:tcMar>
              <w:left w:w="28" w:type="dxa"/>
              <w:right w:w="28" w:type="dxa"/>
            </w:tcMar>
          </w:tcPr>
          <w:p w14:paraId="6EB25018" w14:textId="77777777" w:rsidR="00BB0CAC" w:rsidRPr="00825723" w:rsidRDefault="00BB0CAC" w:rsidP="00FA1438">
            <w:pPr>
              <w:pStyle w:val="TableText"/>
              <w:spacing w:before="40" w:after="40"/>
              <w:jc w:val="center"/>
            </w:pPr>
            <w:r w:rsidRPr="00E07D02">
              <w:rPr>
                <w:rFonts w:ascii="Wingdings" w:hAnsi="Wingdings"/>
              </w:rPr>
              <w:t></w:t>
            </w:r>
          </w:p>
        </w:tc>
        <w:tc>
          <w:tcPr>
            <w:tcW w:w="197" w:type="pct"/>
            <w:tcMar>
              <w:left w:w="28" w:type="dxa"/>
              <w:right w:w="28" w:type="dxa"/>
            </w:tcMar>
          </w:tcPr>
          <w:p w14:paraId="49B79BA9" w14:textId="77777777" w:rsidR="00BB0CAC" w:rsidRPr="00825723" w:rsidRDefault="00BB0CAC" w:rsidP="00FA1438">
            <w:pPr>
              <w:pStyle w:val="TableText"/>
              <w:spacing w:before="40" w:after="40"/>
              <w:jc w:val="center"/>
            </w:pPr>
          </w:p>
        </w:tc>
        <w:tc>
          <w:tcPr>
            <w:tcW w:w="245" w:type="pct"/>
            <w:tcMar>
              <w:left w:w="28" w:type="dxa"/>
              <w:right w:w="28" w:type="dxa"/>
            </w:tcMar>
          </w:tcPr>
          <w:p w14:paraId="23DB6E73" w14:textId="77777777" w:rsidR="00BB0CAC" w:rsidRPr="00825723" w:rsidRDefault="00BB0CAC" w:rsidP="00FA1438">
            <w:pPr>
              <w:pStyle w:val="TableText"/>
              <w:spacing w:before="40" w:after="40"/>
              <w:jc w:val="center"/>
            </w:pPr>
          </w:p>
        </w:tc>
        <w:tc>
          <w:tcPr>
            <w:tcW w:w="246" w:type="pct"/>
            <w:tcMar>
              <w:left w:w="28" w:type="dxa"/>
              <w:right w:w="28" w:type="dxa"/>
            </w:tcMar>
          </w:tcPr>
          <w:p w14:paraId="3428F344" w14:textId="77777777" w:rsidR="00BB0CAC" w:rsidRPr="00825723" w:rsidRDefault="00BB0CAC" w:rsidP="00FA1438">
            <w:pPr>
              <w:pStyle w:val="TableText"/>
              <w:spacing w:before="40" w:after="40"/>
              <w:jc w:val="center"/>
            </w:pPr>
          </w:p>
        </w:tc>
        <w:tc>
          <w:tcPr>
            <w:tcW w:w="342" w:type="pct"/>
            <w:tcMar>
              <w:left w:w="28" w:type="dxa"/>
              <w:right w:w="28" w:type="dxa"/>
            </w:tcMar>
          </w:tcPr>
          <w:p w14:paraId="2209481A" w14:textId="77777777" w:rsidR="00BB0CAC" w:rsidRPr="00825723" w:rsidRDefault="00BB0CAC" w:rsidP="00FA1438">
            <w:pPr>
              <w:pStyle w:val="TableText"/>
              <w:spacing w:before="40" w:after="40"/>
              <w:jc w:val="center"/>
            </w:pPr>
            <w:r w:rsidRPr="00E07D02">
              <w:rPr>
                <w:rFonts w:ascii="Wingdings" w:hAnsi="Wingdings"/>
              </w:rPr>
              <w:t></w:t>
            </w:r>
          </w:p>
        </w:tc>
      </w:tr>
      <w:tr w:rsidR="00BB0CAC" w:rsidRPr="00844BF8" w14:paraId="63826CF9" w14:textId="77777777" w:rsidTr="008C1748">
        <w:tc>
          <w:tcPr>
            <w:tcW w:w="883" w:type="pct"/>
          </w:tcPr>
          <w:p w14:paraId="376613CA" w14:textId="77777777" w:rsidR="00BB0CAC" w:rsidRPr="00825723" w:rsidRDefault="00BB0CAC" w:rsidP="00FA1438">
            <w:pPr>
              <w:pStyle w:val="TableText"/>
              <w:spacing w:before="40" w:after="40"/>
            </w:pPr>
            <w:r w:rsidRPr="00825723">
              <w:t>Certain income derived by transitional residents: exempt income</w:t>
            </w:r>
          </w:p>
        </w:tc>
        <w:tc>
          <w:tcPr>
            <w:tcW w:w="567" w:type="pct"/>
          </w:tcPr>
          <w:p w14:paraId="6211F1C4" w14:textId="77777777" w:rsidR="00BB0CAC" w:rsidRPr="00A96323" w:rsidRDefault="00BB0CAC" w:rsidP="00FA1438">
            <w:pPr>
              <w:pStyle w:val="TableText"/>
              <w:spacing w:before="40" w:after="40"/>
              <w:rPr>
                <w:rStyle w:val="Emphasis"/>
              </w:rPr>
            </w:pPr>
            <w:r w:rsidRPr="00A96323">
              <w:rPr>
                <w:rStyle w:val="Emphasis"/>
              </w:rPr>
              <w:t>Sections CW 27 and HR 8</w:t>
            </w:r>
          </w:p>
          <w:p w14:paraId="6574CDAF" w14:textId="77777777" w:rsidR="00BB0CAC" w:rsidRPr="00A96323" w:rsidRDefault="00BB0CAC" w:rsidP="00FA1438">
            <w:pPr>
              <w:pStyle w:val="TableText"/>
              <w:spacing w:before="40" w:after="40"/>
              <w:rPr>
                <w:rStyle w:val="Emphasis"/>
              </w:rPr>
            </w:pPr>
            <w:r w:rsidRPr="00A96323">
              <w:rPr>
                <w:rStyle w:val="Emphasis"/>
              </w:rPr>
              <w:t>-Temporary exemption</w:t>
            </w:r>
          </w:p>
        </w:tc>
        <w:tc>
          <w:tcPr>
            <w:tcW w:w="1015" w:type="pct"/>
            <w:vAlign w:val="center"/>
          </w:tcPr>
          <w:p w14:paraId="4D03987A" w14:textId="77777777" w:rsidR="00BB0CAC" w:rsidRPr="00715640" w:rsidRDefault="00BB0CAC" w:rsidP="00FA1438">
            <w:pPr>
              <w:pStyle w:val="TableText"/>
              <w:spacing w:before="40" w:after="40"/>
              <w:rPr>
                <w:rFonts w:cs="Arial"/>
                <w:szCs w:val="16"/>
              </w:rPr>
            </w:pPr>
            <w:r w:rsidRPr="00715640">
              <w:rPr>
                <w:rFonts w:cs="Arial"/>
                <w:szCs w:val="16"/>
              </w:rPr>
              <w:t>New tax residents (both immigrants and returning New Zealanders) can gain a temporary tax exemption for up to four years on most foreign-sourced income (NZ tax on foreign-sourced income is higher than some other countries).</w:t>
            </w:r>
          </w:p>
          <w:p w14:paraId="1DFD5B5C" w14:textId="77777777" w:rsidR="00BB0CAC" w:rsidRPr="005229FE" w:rsidRDefault="00BB0CAC" w:rsidP="00FA1438">
            <w:pPr>
              <w:pStyle w:val="TableText"/>
              <w:spacing w:before="40" w:after="40"/>
              <w:rPr>
                <w:rFonts w:cs="Arial"/>
                <w:color w:val="000000"/>
                <w:szCs w:val="16"/>
                <w:lang w:eastAsia="en-NZ"/>
              </w:rPr>
            </w:pPr>
          </w:p>
        </w:tc>
        <w:tc>
          <w:tcPr>
            <w:tcW w:w="1015" w:type="pct"/>
          </w:tcPr>
          <w:p w14:paraId="1BA6A680" w14:textId="77777777" w:rsidR="00BB0CAC" w:rsidRPr="00C253BC" w:rsidRDefault="00BB0CAC" w:rsidP="00FA1438">
            <w:pPr>
              <w:pStyle w:val="TableText"/>
              <w:spacing w:before="40" w:after="40"/>
              <w:rPr>
                <w:rFonts w:cs="Arial"/>
              </w:rPr>
            </w:pPr>
            <w:r w:rsidRPr="00C253BC">
              <w:rPr>
                <w:rFonts w:cs="Arial"/>
                <w:color w:val="000000"/>
              </w:rPr>
              <w:t>To reduce the costs to NZ businesses associated with recruiting highly</w:t>
            </w:r>
            <w:r>
              <w:rPr>
                <w:rFonts w:cs="Arial"/>
                <w:color w:val="000000"/>
              </w:rPr>
              <w:t xml:space="preserve"> skilled and mobile individuals; remove tax barriers that may inhibit</w:t>
            </w:r>
            <w:r w:rsidRPr="00C253BC">
              <w:rPr>
                <w:rFonts w:cs="Arial"/>
                <w:color w:val="000000"/>
              </w:rPr>
              <w:t xml:space="preserve"> </w:t>
            </w:r>
            <w:r>
              <w:rPr>
                <w:rFonts w:cs="Arial"/>
                <w:color w:val="000000"/>
              </w:rPr>
              <w:t>international recruitment to NZ;</w:t>
            </w:r>
            <w:r w:rsidRPr="00C253BC">
              <w:rPr>
                <w:rFonts w:cs="Arial"/>
                <w:color w:val="000000"/>
              </w:rPr>
              <w:t xml:space="preserve"> and grow development of a competitive and innovative economy.</w:t>
            </w:r>
          </w:p>
        </w:tc>
        <w:tc>
          <w:tcPr>
            <w:tcW w:w="196" w:type="pct"/>
            <w:tcMar>
              <w:left w:w="28" w:type="dxa"/>
              <w:right w:w="28" w:type="dxa"/>
            </w:tcMar>
          </w:tcPr>
          <w:p w14:paraId="634E3A50" w14:textId="77777777" w:rsidR="00BB0CAC" w:rsidRPr="00825723" w:rsidRDefault="00BB0CAC" w:rsidP="00FA1438">
            <w:pPr>
              <w:pStyle w:val="TableText"/>
              <w:spacing w:before="40" w:after="40"/>
              <w:jc w:val="center"/>
            </w:pPr>
          </w:p>
        </w:tc>
        <w:tc>
          <w:tcPr>
            <w:tcW w:w="294" w:type="pct"/>
            <w:tcMar>
              <w:left w:w="28" w:type="dxa"/>
              <w:right w:w="28" w:type="dxa"/>
            </w:tcMar>
          </w:tcPr>
          <w:p w14:paraId="4B2009A5" w14:textId="77777777" w:rsidR="00BB0CAC" w:rsidRPr="00825723" w:rsidRDefault="00BB0CAC" w:rsidP="00FA1438">
            <w:pPr>
              <w:pStyle w:val="TableText"/>
              <w:spacing w:before="40" w:after="40"/>
              <w:jc w:val="center"/>
            </w:pPr>
          </w:p>
        </w:tc>
        <w:tc>
          <w:tcPr>
            <w:tcW w:w="197" w:type="pct"/>
            <w:tcMar>
              <w:left w:w="28" w:type="dxa"/>
              <w:right w:w="28" w:type="dxa"/>
            </w:tcMar>
          </w:tcPr>
          <w:p w14:paraId="271EDF14" w14:textId="77777777" w:rsidR="00BB0CAC" w:rsidRPr="00825723" w:rsidRDefault="00BB0CAC" w:rsidP="00FA1438">
            <w:pPr>
              <w:pStyle w:val="TableText"/>
              <w:spacing w:before="40" w:after="40"/>
              <w:jc w:val="center"/>
            </w:pPr>
            <w:r w:rsidRPr="00E07D02">
              <w:rPr>
                <w:rFonts w:ascii="Wingdings" w:hAnsi="Wingdings"/>
              </w:rPr>
              <w:t></w:t>
            </w:r>
          </w:p>
        </w:tc>
        <w:tc>
          <w:tcPr>
            <w:tcW w:w="245" w:type="pct"/>
            <w:tcMar>
              <w:left w:w="28" w:type="dxa"/>
              <w:right w:w="28" w:type="dxa"/>
            </w:tcMar>
          </w:tcPr>
          <w:p w14:paraId="6660B776" w14:textId="77777777" w:rsidR="00BB0CAC" w:rsidRPr="00825723" w:rsidRDefault="00BB0CAC" w:rsidP="00FA1438">
            <w:pPr>
              <w:pStyle w:val="TableText"/>
              <w:spacing w:before="40" w:after="40"/>
              <w:jc w:val="center"/>
            </w:pPr>
          </w:p>
        </w:tc>
        <w:tc>
          <w:tcPr>
            <w:tcW w:w="246" w:type="pct"/>
            <w:tcMar>
              <w:left w:w="28" w:type="dxa"/>
              <w:right w:w="28" w:type="dxa"/>
            </w:tcMar>
          </w:tcPr>
          <w:p w14:paraId="276B28B9" w14:textId="77777777" w:rsidR="00BB0CAC" w:rsidRPr="00825723" w:rsidRDefault="00BB0CAC" w:rsidP="00FA1438">
            <w:pPr>
              <w:pStyle w:val="TableText"/>
              <w:spacing w:before="40" w:after="40"/>
              <w:jc w:val="center"/>
            </w:pPr>
          </w:p>
        </w:tc>
        <w:tc>
          <w:tcPr>
            <w:tcW w:w="342" w:type="pct"/>
            <w:tcMar>
              <w:left w:w="28" w:type="dxa"/>
              <w:right w:w="28" w:type="dxa"/>
            </w:tcMar>
          </w:tcPr>
          <w:p w14:paraId="5506088A" w14:textId="77777777" w:rsidR="00BB0CAC" w:rsidRPr="00825723" w:rsidRDefault="00BB0CAC" w:rsidP="00FA1438">
            <w:pPr>
              <w:pStyle w:val="TableText"/>
              <w:spacing w:before="40" w:after="40"/>
              <w:jc w:val="center"/>
            </w:pPr>
            <w:r w:rsidRPr="00E07D02">
              <w:rPr>
                <w:rFonts w:ascii="Wingdings" w:hAnsi="Wingdings"/>
              </w:rPr>
              <w:t></w:t>
            </w:r>
          </w:p>
        </w:tc>
      </w:tr>
      <w:tr w:rsidR="00BB0CAC" w:rsidRPr="00844BF8" w14:paraId="18FE6AD0" w14:textId="77777777" w:rsidTr="008C1748">
        <w:tc>
          <w:tcPr>
            <w:tcW w:w="883" w:type="pct"/>
          </w:tcPr>
          <w:p w14:paraId="1D9B7A4E" w14:textId="77777777" w:rsidR="00BB0CAC" w:rsidRPr="00825723" w:rsidRDefault="00BB0CAC" w:rsidP="00FA1438">
            <w:pPr>
              <w:pStyle w:val="TableText"/>
              <w:spacing w:before="40" w:after="40"/>
            </w:pPr>
            <w:r w:rsidRPr="00825723">
              <w:t>Charitable or other public benefit gifts by a company: deduction</w:t>
            </w:r>
          </w:p>
        </w:tc>
        <w:tc>
          <w:tcPr>
            <w:tcW w:w="567" w:type="pct"/>
          </w:tcPr>
          <w:p w14:paraId="70AFC0C0" w14:textId="77777777" w:rsidR="00BB0CAC" w:rsidRPr="00A96323" w:rsidRDefault="00BB0CAC" w:rsidP="00FA1438">
            <w:pPr>
              <w:pStyle w:val="TableText"/>
              <w:spacing w:before="40" w:after="40"/>
              <w:rPr>
                <w:rStyle w:val="Emphasis"/>
              </w:rPr>
            </w:pPr>
            <w:r w:rsidRPr="00A96323">
              <w:rPr>
                <w:rStyle w:val="Emphasis"/>
              </w:rPr>
              <w:t>Section DB 41</w:t>
            </w:r>
          </w:p>
          <w:p w14:paraId="21826B5B" w14:textId="77777777" w:rsidR="00BB0CAC" w:rsidRPr="00A96323" w:rsidRDefault="00BB0CAC" w:rsidP="00FA1438">
            <w:pPr>
              <w:pStyle w:val="TableText"/>
              <w:spacing w:before="40" w:after="40"/>
              <w:rPr>
                <w:rStyle w:val="Emphasis"/>
              </w:rPr>
            </w:pPr>
            <w:r w:rsidRPr="00A96323">
              <w:rPr>
                <w:rStyle w:val="Emphasis"/>
              </w:rPr>
              <w:t>-Deduction</w:t>
            </w:r>
          </w:p>
        </w:tc>
        <w:tc>
          <w:tcPr>
            <w:tcW w:w="1015" w:type="pct"/>
          </w:tcPr>
          <w:p w14:paraId="235D413A" w14:textId="77777777" w:rsidR="00BB0CAC" w:rsidRDefault="00BB0CAC" w:rsidP="00FA1438">
            <w:pPr>
              <w:pStyle w:val="TableText"/>
              <w:spacing w:before="40" w:after="40"/>
              <w:rPr>
                <w:rFonts w:cs="Arial"/>
                <w:szCs w:val="16"/>
              </w:rPr>
            </w:pPr>
            <w:r w:rsidRPr="00CD766A">
              <w:rPr>
                <w:rFonts w:cs="Arial"/>
                <w:szCs w:val="16"/>
              </w:rPr>
              <w:t>A company</w:t>
            </w:r>
            <w:r w:rsidRPr="00CD766A">
              <w:rPr>
                <w:rFonts w:cs="Arial"/>
                <w:bCs/>
                <w:szCs w:val="16"/>
              </w:rPr>
              <w:t xml:space="preserve"> </w:t>
            </w:r>
            <w:r w:rsidRPr="00CD766A">
              <w:rPr>
                <w:rFonts w:cs="Arial"/>
                <w:szCs w:val="16"/>
              </w:rPr>
              <w:t xml:space="preserve">is allowed a deduction for a charitable or other public benefit gift </w:t>
            </w:r>
            <w:r>
              <w:rPr>
                <w:rFonts w:cs="Arial"/>
                <w:szCs w:val="16"/>
              </w:rPr>
              <w:t xml:space="preserve">of cash </w:t>
            </w:r>
            <w:r w:rsidRPr="00CD766A">
              <w:rPr>
                <w:rFonts w:cs="Arial"/>
                <w:szCs w:val="16"/>
              </w:rPr>
              <w:t>when made to a</w:t>
            </w:r>
            <w:r>
              <w:rPr>
                <w:rFonts w:cs="Arial"/>
                <w:szCs w:val="16"/>
              </w:rPr>
              <w:t>n entity</w:t>
            </w:r>
            <w:r w:rsidRPr="00CD766A">
              <w:rPr>
                <w:rFonts w:cs="Arial"/>
                <w:szCs w:val="16"/>
              </w:rPr>
              <w:t xml:space="preserve"> described in section LD(3)(2) or listed in schedule 32 of the </w:t>
            </w:r>
            <w:r w:rsidRPr="00CD766A">
              <w:rPr>
                <w:rFonts w:cs="Arial"/>
                <w:i/>
                <w:szCs w:val="16"/>
              </w:rPr>
              <w:t>Income Tax Act 2007</w:t>
            </w:r>
            <w:r w:rsidRPr="00CD766A">
              <w:rPr>
                <w:rFonts w:cs="Arial"/>
                <w:szCs w:val="16"/>
              </w:rPr>
              <w:t xml:space="preserve">.  This </w:t>
            </w:r>
            <w:r>
              <w:rPr>
                <w:rFonts w:cs="Arial"/>
                <w:szCs w:val="16"/>
              </w:rPr>
              <w:t xml:space="preserve">deduction </w:t>
            </w:r>
            <w:r w:rsidRPr="00CD766A">
              <w:rPr>
                <w:rFonts w:cs="Arial"/>
                <w:szCs w:val="16"/>
              </w:rPr>
              <w:t xml:space="preserve">is limited by net income.  </w:t>
            </w:r>
          </w:p>
        </w:tc>
        <w:tc>
          <w:tcPr>
            <w:tcW w:w="1015" w:type="pct"/>
          </w:tcPr>
          <w:p w14:paraId="4B9C0644" w14:textId="77777777" w:rsidR="00BB0CAC" w:rsidRPr="00C253BC" w:rsidRDefault="00BB0CAC" w:rsidP="00FA1438">
            <w:pPr>
              <w:pStyle w:val="TableText"/>
              <w:spacing w:before="40" w:after="40"/>
              <w:rPr>
                <w:rFonts w:cs="Arial"/>
                <w:color w:val="000000"/>
                <w:szCs w:val="16"/>
                <w:lang w:eastAsia="en-NZ"/>
              </w:rPr>
            </w:pPr>
            <w:r w:rsidRPr="00C253BC">
              <w:rPr>
                <w:rFonts w:cs="Arial"/>
                <w:color w:val="000000"/>
                <w:szCs w:val="16"/>
                <w:lang w:eastAsia="en-NZ"/>
              </w:rPr>
              <w:t>Tax incentives for charitable donation.</w:t>
            </w:r>
          </w:p>
          <w:p w14:paraId="3BA94162" w14:textId="77777777" w:rsidR="00BB0CAC" w:rsidRPr="00C253BC" w:rsidRDefault="00BB0CAC" w:rsidP="00FA1438">
            <w:pPr>
              <w:pStyle w:val="TableText"/>
              <w:spacing w:before="40" w:after="40"/>
              <w:rPr>
                <w:rFonts w:cs="Arial"/>
              </w:rPr>
            </w:pPr>
          </w:p>
        </w:tc>
        <w:tc>
          <w:tcPr>
            <w:tcW w:w="196" w:type="pct"/>
            <w:tcMar>
              <w:left w:w="28" w:type="dxa"/>
              <w:right w:w="28" w:type="dxa"/>
            </w:tcMar>
          </w:tcPr>
          <w:p w14:paraId="673E2EE8" w14:textId="77777777" w:rsidR="00BB0CAC" w:rsidRPr="00825723" w:rsidRDefault="00BB0CAC" w:rsidP="00FA1438">
            <w:pPr>
              <w:pStyle w:val="TableText"/>
              <w:spacing w:before="40" w:after="40"/>
              <w:jc w:val="center"/>
            </w:pPr>
            <w:r w:rsidRPr="00E07D02">
              <w:rPr>
                <w:rFonts w:ascii="Wingdings" w:hAnsi="Wingdings"/>
              </w:rPr>
              <w:t></w:t>
            </w:r>
          </w:p>
        </w:tc>
        <w:tc>
          <w:tcPr>
            <w:tcW w:w="294" w:type="pct"/>
            <w:tcMar>
              <w:left w:w="28" w:type="dxa"/>
              <w:right w:w="28" w:type="dxa"/>
            </w:tcMar>
          </w:tcPr>
          <w:p w14:paraId="579A601C" w14:textId="77777777" w:rsidR="00BB0CAC" w:rsidRPr="00825723" w:rsidRDefault="00BB0CAC" w:rsidP="00FA1438">
            <w:pPr>
              <w:pStyle w:val="TableText"/>
              <w:spacing w:before="40" w:after="40"/>
              <w:jc w:val="center"/>
            </w:pPr>
          </w:p>
        </w:tc>
        <w:tc>
          <w:tcPr>
            <w:tcW w:w="197" w:type="pct"/>
            <w:tcMar>
              <w:left w:w="28" w:type="dxa"/>
              <w:right w:w="28" w:type="dxa"/>
            </w:tcMar>
          </w:tcPr>
          <w:p w14:paraId="5865E63E" w14:textId="77777777" w:rsidR="00BB0CAC" w:rsidRPr="00825723" w:rsidRDefault="00BB0CAC" w:rsidP="00FA1438">
            <w:pPr>
              <w:pStyle w:val="TableText"/>
              <w:spacing w:before="40" w:after="40"/>
              <w:jc w:val="center"/>
            </w:pPr>
          </w:p>
        </w:tc>
        <w:tc>
          <w:tcPr>
            <w:tcW w:w="245" w:type="pct"/>
            <w:tcMar>
              <w:left w:w="28" w:type="dxa"/>
              <w:right w:w="28" w:type="dxa"/>
            </w:tcMar>
          </w:tcPr>
          <w:p w14:paraId="583EAAB8" w14:textId="77777777" w:rsidR="00BB0CAC" w:rsidRPr="00825723" w:rsidRDefault="00BB0CAC" w:rsidP="00FA1438">
            <w:pPr>
              <w:pStyle w:val="TableText"/>
              <w:spacing w:before="40" w:after="40"/>
              <w:jc w:val="center"/>
            </w:pPr>
          </w:p>
        </w:tc>
        <w:tc>
          <w:tcPr>
            <w:tcW w:w="246" w:type="pct"/>
            <w:tcMar>
              <w:left w:w="28" w:type="dxa"/>
              <w:right w:w="28" w:type="dxa"/>
            </w:tcMar>
          </w:tcPr>
          <w:p w14:paraId="772838A5" w14:textId="77777777" w:rsidR="00BB0CAC" w:rsidRPr="00825723" w:rsidRDefault="00BB0CAC" w:rsidP="00FA1438">
            <w:pPr>
              <w:pStyle w:val="TableText"/>
              <w:spacing w:before="40" w:after="40"/>
              <w:jc w:val="center"/>
            </w:pPr>
          </w:p>
        </w:tc>
        <w:tc>
          <w:tcPr>
            <w:tcW w:w="342" w:type="pct"/>
            <w:tcMar>
              <w:left w:w="28" w:type="dxa"/>
              <w:right w:w="28" w:type="dxa"/>
            </w:tcMar>
          </w:tcPr>
          <w:p w14:paraId="5D12100B" w14:textId="77777777" w:rsidR="00BB0CAC" w:rsidRPr="00825723" w:rsidRDefault="00BB0CAC" w:rsidP="00FA1438">
            <w:pPr>
              <w:pStyle w:val="TableText"/>
              <w:spacing w:before="40" w:after="40"/>
              <w:jc w:val="center"/>
            </w:pPr>
            <w:r w:rsidRPr="00E07D02">
              <w:rPr>
                <w:rFonts w:ascii="Wingdings" w:hAnsi="Wingdings"/>
              </w:rPr>
              <w:t></w:t>
            </w:r>
          </w:p>
        </w:tc>
      </w:tr>
      <w:tr w:rsidR="00BB0CAC" w:rsidRPr="00844BF8" w14:paraId="31A8D609" w14:textId="77777777" w:rsidTr="008C1748">
        <w:tc>
          <w:tcPr>
            <w:tcW w:w="883" w:type="pct"/>
          </w:tcPr>
          <w:p w14:paraId="735467DB" w14:textId="77777777" w:rsidR="00BB0CAC" w:rsidRDefault="00BB0CAC" w:rsidP="00FA1438">
            <w:pPr>
              <w:pStyle w:val="TableText"/>
              <w:spacing w:before="40" w:after="40"/>
            </w:pPr>
            <w:r w:rsidRPr="00825723">
              <w:t>Cha</w:t>
            </w:r>
            <w:r>
              <w:t>ritable or other public benefit gifts by an individual</w:t>
            </w:r>
            <w:r w:rsidRPr="00825723">
              <w:t>: tax credit</w:t>
            </w:r>
          </w:p>
        </w:tc>
        <w:tc>
          <w:tcPr>
            <w:tcW w:w="567" w:type="pct"/>
          </w:tcPr>
          <w:p w14:paraId="0821228A" w14:textId="77777777" w:rsidR="00BB0CAC" w:rsidRPr="00A96323" w:rsidRDefault="00BB0CAC" w:rsidP="00FA1438">
            <w:pPr>
              <w:pStyle w:val="TableText"/>
              <w:spacing w:before="40" w:after="40"/>
              <w:rPr>
                <w:rStyle w:val="Emphasis"/>
              </w:rPr>
            </w:pPr>
            <w:r w:rsidRPr="00A96323">
              <w:rPr>
                <w:rStyle w:val="Emphasis"/>
              </w:rPr>
              <w:t>Subpart LD</w:t>
            </w:r>
          </w:p>
          <w:p w14:paraId="7A36C3D9" w14:textId="77777777" w:rsidR="00BB0CAC" w:rsidRPr="00A96323" w:rsidRDefault="00BB0CAC" w:rsidP="00FA1438">
            <w:pPr>
              <w:pStyle w:val="TableText"/>
              <w:spacing w:before="40" w:after="40"/>
              <w:rPr>
                <w:rStyle w:val="Emphasis"/>
              </w:rPr>
            </w:pPr>
            <w:r w:rsidRPr="00A96323">
              <w:rPr>
                <w:rStyle w:val="Emphasis"/>
              </w:rPr>
              <w:t>-Deduction</w:t>
            </w:r>
          </w:p>
        </w:tc>
        <w:tc>
          <w:tcPr>
            <w:tcW w:w="1015" w:type="pct"/>
          </w:tcPr>
          <w:p w14:paraId="2204531F" w14:textId="02B9EEA7" w:rsidR="00BB0CAC" w:rsidRDefault="00BB0CAC" w:rsidP="00FA1438">
            <w:pPr>
              <w:pStyle w:val="TableText"/>
              <w:spacing w:before="40" w:after="40"/>
              <w:rPr>
                <w:rFonts w:cs="Arial"/>
                <w:szCs w:val="16"/>
              </w:rPr>
            </w:pPr>
            <w:r w:rsidRPr="00CD766A">
              <w:rPr>
                <w:rFonts w:cs="Arial"/>
                <w:szCs w:val="16"/>
              </w:rPr>
              <w:t>An individual who makes a charitable or other public benefit gift is, under certain conditions, allowed a refundable tax credit. This applies to cash donations only and is limited by taxable income.</w:t>
            </w:r>
          </w:p>
        </w:tc>
        <w:tc>
          <w:tcPr>
            <w:tcW w:w="1015" w:type="pct"/>
          </w:tcPr>
          <w:p w14:paraId="1AF58655" w14:textId="77777777" w:rsidR="00BB0CAC" w:rsidRPr="00C253BC" w:rsidRDefault="00BB0CAC" w:rsidP="00FA1438">
            <w:pPr>
              <w:pStyle w:val="TableText"/>
              <w:spacing w:before="40" w:after="40"/>
              <w:rPr>
                <w:rFonts w:cs="Arial"/>
              </w:rPr>
            </w:pPr>
            <w:r>
              <w:rPr>
                <w:rFonts w:cs="Arial"/>
                <w:color w:val="000000"/>
              </w:rPr>
              <w:t>Tax incentives for charitable</w:t>
            </w:r>
            <w:r w:rsidRPr="00C253BC">
              <w:rPr>
                <w:rFonts w:cs="Arial"/>
                <w:color w:val="000000"/>
              </w:rPr>
              <w:t xml:space="preserve"> donation. </w:t>
            </w:r>
          </w:p>
        </w:tc>
        <w:tc>
          <w:tcPr>
            <w:tcW w:w="196" w:type="pct"/>
            <w:tcMar>
              <w:left w:w="28" w:type="dxa"/>
              <w:right w:w="28" w:type="dxa"/>
            </w:tcMar>
          </w:tcPr>
          <w:p w14:paraId="582F3BF3" w14:textId="77777777" w:rsidR="00BB0CAC" w:rsidRDefault="00BB0CAC" w:rsidP="00FA1438">
            <w:pPr>
              <w:pStyle w:val="TableText"/>
              <w:spacing w:before="40" w:after="40"/>
              <w:jc w:val="center"/>
            </w:pPr>
            <w:r w:rsidRPr="00E07D02">
              <w:rPr>
                <w:rFonts w:ascii="Wingdings" w:hAnsi="Wingdings"/>
              </w:rPr>
              <w:t></w:t>
            </w:r>
          </w:p>
        </w:tc>
        <w:tc>
          <w:tcPr>
            <w:tcW w:w="294" w:type="pct"/>
            <w:tcMar>
              <w:left w:w="28" w:type="dxa"/>
              <w:right w:w="28" w:type="dxa"/>
            </w:tcMar>
          </w:tcPr>
          <w:p w14:paraId="271BC7A6" w14:textId="77777777" w:rsidR="00BB0CAC" w:rsidRDefault="00BB0CAC" w:rsidP="00FA1438">
            <w:pPr>
              <w:pStyle w:val="TableText"/>
              <w:spacing w:before="40" w:after="40"/>
              <w:jc w:val="center"/>
            </w:pPr>
          </w:p>
        </w:tc>
        <w:tc>
          <w:tcPr>
            <w:tcW w:w="197" w:type="pct"/>
            <w:tcMar>
              <w:left w:w="28" w:type="dxa"/>
              <w:right w:w="28" w:type="dxa"/>
            </w:tcMar>
          </w:tcPr>
          <w:p w14:paraId="6FC6F422" w14:textId="77777777" w:rsidR="00BB0CAC" w:rsidRDefault="00BB0CAC" w:rsidP="00FA1438">
            <w:pPr>
              <w:pStyle w:val="TableText"/>
              <w:spacing w:before="40" w:after="40"/>
              <w:jc w:val="center"/>
            </w:pPr>
          </w:p>
        </w:tc>
        <w:tc>
          <w:tcPr>
            <w:tcW w:w="245" w:type="pct"/>
            <w:tcMar>
              <w:left w:w="28" w:type="dxa"/>
              <w:right w:w="28" w:type="dxa"/>
            </w:tcMar>
          </w:tcPr>
          <w:p w14:paraId="3E90AB78" w14:textId="77777777" w:rsidR="00BB0CAC" w:rsidRDefault="00BB0CAC" w:rsidP="00FA1438">
            <w:pPr>
              <w:pStyle w:val="TableText"/>
              <w:spacing w:before="40" w:after="40"/>
              <w:jc w:val="center"/>
            </w:pPr>
          </w:p>
        </w:tc>
        <w:tc>
          <w:tcPr>
            <w:tcW w:w="246" w:type="pct"/>
            <w:tcMar>
              <w:left w:w="28" w:type="dxa"/>
              <w:right w:w="28" w:type="dxa"/>
            </w:tcMar>
          </w:tcPr>
          <w:p w14:paraId="4F0F02D2" w14:textId="77777777" w:rsidR="00BB0CAC" w:rsidRDefault="00BB0CAC" w:rsidP="00FA1438">
            <w:pPr>
              <w:pStyle w:val="TableText"/>
              <w:spacing w:before="40" w:after="40"/>
              <w:jc w:val="center"/>
            </w:pPr>
          </w:p>
        </w:tc>
        <w:tc>
          <w:tcPr>
            <w:tcW w:w="342" w:type="pct"/>
            <w:tcMar>
              <w:left w:w="28" w:type="dxa"/>
              <w:right w:w="28" w:type="dxa"/>
            </w:tcMar>
          </w:tcPr>
          <w:p w14:paraId="0DEBFF2B" w14:textId="77777777" w:rsidR="00BB0CAC" w:rsidRDefault="00BB0CAC" w:rsidP="00FA1438">
            <w:pPr>
              <w:pStyle w:val="TableText"/>
              <w:spacing w:before="40" w:after="40"/>
              <w:jc w:val="center"/>
            </w:pPr>
            <w:r w:rsidRPr="00E07D02">
              <w:rPr>
                <w:rFonts w:ascii="Wingdings" w:hAnsi="Wingdings"/>
              </w:rPr>
              <w:t></w:t>
            </w:r>
          </w:p>
        </w:tc>
      </w:tr>
      <w:tr w:rsidR="00BB0CAC" w:rsidRPr="00844BF8" w14:paraId="0F453E9A" w14:textId="77777777" w:rsidTr="008C1748">
        <w:tc>
          <w:tcPr>
            <w:tcW w:w="883" w:type="pct"/>
          </w:tcPr>
          <w:p w14:paraId="3527E0B3" w14:textId="77777777" w:rsidR="00BB0CAC" w:rsidRPr="00825723" w:rsidRDefault="00BB0CAC" w:rsidP="000676D8">
            <w:pPr>
              <w:pStyle w:val="TableText"/>
            </w:pPr>
            <w:r>
              <w:lastRenderedPageBreak/>
              <w:t>Charities deregistration</w:t>
            </w:r>
          </w:p>
        </w:tc>
        <w:tc>
          <w:tcPr>
            <w:tcW w:w="567" w:type="pct"/>
          </w:tcPr>
          <w:p w14:paraId="55E40D2A" w14:textId="77777777" w:rsidR="00BB0CAC" w:rsidRPr="00A96323" w:rsidRDefault="00BB0CAC" w:rsidP="000676D8">
            <w:pPr>
              <w:pStyle w:val="TableText"/>
              <w:rPr>
                <w:rFonts w:cs="Arial"/>
                <w:i/>
                <w:szCs w:val="22"/>
              </w:rPr>
            </w:pPr>
            <w:r w:rsidRPr="00A96323">
              <w:rPr>
                <w:rFonts w:cs="Arial"/>
                <w:i/>
                <w:szCs w:val="22"/>
              </w:rPr>
              <w:t>Section HR 12</w:t>
            </w:r>
          </w:p>
          <w:p w14:paraId="28D9F1CE"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4C1E34BE" w14:textId="77777777" w:rsidR="00BB0CAC" w:rsidRPr="00CD766A" w:rsidRDefault="00BB0CAC" w:rsidP="000676D8">
            <w:pPr>
              <w:pStyle w:val="TableText"/>
              <w:rPr>
                <w:rFonts w:cs="Arial"/>
                <w:szCs w:val="16"/>
              </w:rPr>
            </w:pPr>
            <w:r>
              <w:rPr>
                <w:rFonts w:cs="Arial"/>
                <w:szCs w:val="16"/>
              </w:rPr>
              <w:t xml:space="preserve">Charities that predominately provide community housing are exempt from section HR 12 (tax on deregistration of charities) in qualifying circumstances.  </w:t>
            </w:r>
          </w:p>
        </w:tc>
        <w:tc>
          <w:tcPr>
            <w:tcW w:w="1015" w:type="pct"/>
          </w:tcPr>
          <w:p w14:paraId="3DDA2CBF"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To </w:t>
            </w:r>
            <w:r>
              <w:rPr>
                <w:rFonts w:cs="Arial"/>
                <w:color w:val="000000"/>
                <w:szCs w:val="16"/>
                <w:lang w:eastAsia="en-NZ"/>
              </w:rPr>
              <w:t>ensure that assets and income accumulated while an entity was exempt from income tax as a charity is destined for charitable purposes.</w:t>
            </w:r>
          </w:p>
        </w:tc>
        <w:tc>
          <w:tcPr>
            <w:tcW w:w="196" w:type="pct"/>
            <w:tcMar>
              <w:left w:w="28" w:type="dxa"/>
              <w:right w:w="28" w:type="dxa"/>
            </w:tcMar>
          </w:tcPr>
          <w:p w14:paraId="75F37F6A" w14:textId="77777777" w:rsidR="00BB0CAC" w:rsidRPr="00E07D02" w:rsidRDefault="00BB0CAC" w:rsidP="000676D8">
            <w:pPr>
              <w:pStyle w:val="TableText"/>
              <w:jc w:val="center"/>
              <w:rPr>
                <w:rFonts w:ascii="Wingdings" w:hAnsi="Wingdings"/>
              </w:rPr>
            </w:pPr>
            <w:r w:rsidRPr="00E07D02">
              <w:rPr>
                <w:rFonts w:ascii="Wingdings" w:hAnsi="Wingdings"/>
              </w:rPr>
              <w:t></w:t>
            </w:r>
          </w:p>
        </w:tc>
        <w:tc>
          <w:tcPr>
            <w:tcW w:w="294" w:type="pct"/>
            <w:tcMar>
              <w:left w:w="28" w:type="dxa"/>
              <w:right w:w="28" w:type="dxa"/>
            </w:tcMar>
          </w:tcPr>
          <w:p w14:paraId="196BF228" w14:textId="77777777" w:rsidR="00BB0CAC" w:rsidRDefault="00BB0CAC" w:rsidP="000676D8">
            <w:pPr>
              <w:pStyle w:val="TableText"/>
              <w:jc w:val="center"/>
            </w:pPr>
          </w:p>
        </w:tc>
        <w:tc>
          <w:tcPr>
            <w:tcW w:w="197" w:type="pct"/>
            <w:tcMar>
              <w:left w:w="28" w:type="dxa"/>
              <w:right w:w="28" w:type="dxa"/>
            </w:tcMar>
          </w:tcPr>
          <w:p w14:paraId="5D35AAB1" w14:textId="77777777" w:rsidR="00BB0CAC" w:rsidRDefault="00BB0CAC" w:rsidP="000676D8">
            <w:pPr>
              <w:pStyle w:val="TableText"/>
              <w:jc w:val="center"/>
            </w:pPr>
          </w:p>
        </w:tc>
        <w:tc>
          <w:tcPr>
            <w:tcW w:w="245" w:type="pct"/>
            <w:tcMar>
              <w:left w:w="28" w:type="dxa"/>
              <w:right w:w="28" w:type="dxa"/>
            </w:tcMar>
          </w:tcPr>
          <w:p w14:paraId="6EE2310C" w14:textId="77777777" w:rsidR="00BB0CAC" w:rsidRDefault="00BB0CAC" w:rsidP="000676D8">
            <w:pPr>
              <w:pStyle w:val="TableText"/>
              <w:jc w:val="center"/>
            </w:pPr>
          </w:p>
        </w:tc>
        <w:tc>
          <w:tcPr>
            <w:tcW w:w="246" w:type="pct"/>
            <w:tcMar>
              <w:left w:w="28" w:type="dxa"/>
              <w:right w:w="28" w:type="dxa"/>
            </w:tcMar>
          </w:tcPr>
          <w:p w14:paraId="76809703" w14:textId="77777777" w:rsidR="00BB0CAC" w:rsidRDefault="00BB0CAC" w:rsidP="000676D8">
            <w:pPr>
              <w:pStyle w:val="TableText"/>
              <w:jc w:val="center"/>
            </w:pPr>
          </w:p>
        </w:tc>
        <w:tc>
          <w:tcPr>
            <w:tcW w:w="342" w:type="pct"/>
            <w:tcMar>
              <w:left w:w="28" w:type="dxa"/>
              <w:right w:w="28" w:type="dxa"/>
            </w:tcMar>
          </w:tcPr>
          <w:p w14:paraId="3E2E3F75" w14:textId="77777777" w:rsidR="00BB0CAC" w:rsidRPr="00E07D02" w:rsidRDefault="00BB0CAC" w:rsidP="000676D8">
            <w:pPr>
              <w:pStyle w:val="TableText"/>
              <w:jc w:val="center"/>
              <w:rPr>
                <w:rFonts w:ascii="Wingdings" w:hAnsi="Wingdings"/>
              </w:rPr>
            </w:pPr>
            <w:r w:rsidRPr="00E07D02">
              <w:rPr>
                <w:rFonts w:ascii="Wingdings" w:hAnsi="Wingdings"/>
              </w:rPr>
              <w:t></w:t>
            </w:r>
          </w:p>
        </w:tc>
      </w:tr>
      <w:tr w:rsidR="00BB0CAC" w:rsidRPr="00844BF8" w14:paraId="7FFFC392" w14:textId="77777777" w:rsidTr="008C1748">
        <w:tc>
          <w:tcPr>
            <w:tcW w:w="883" w:type="pct"/>
          </w:tcPr>
          <w:p w14:paraId="6E7F5E47" w14:textId="77777777" w:rsidR="00BB0CAC" w:rsidRDefault="00BB0CAC" w:rsidP="000676D8">
            <w:pPr>
              <w:pStyle w:val="TableText"/>
            </w:pPr>
            <w:r w:rsidRPr="00825723">
              <w:t>Charities: exempt income</w:t>
            </w:r>
          </w:p>
        </w:tc>
        <w:tc>
          <w:tcPr>
            <w:tcW w:w="567" w:type="pct"/>
          </w:tcPr>
          <w:p w14:paraId="2750BCCF" w14:textId="77777777" w:rsidR="00BB0CAC" w:rsidRPr="00A96323" w:rsidRDefault="00BB0CAC" w:rsidP="000676D8">
            <w:pPr>
              <w:pStyle w:val="TableText"/>
              <w:rPr>
                <w:rFonts w:cs="Arial"/>
                <w:i/>
                <w:szCs w:val="22"/>
              </w:rPr>
            </w:pPr>
            <w:r w:rsidRPr="00A96323">
              <w:rPr>
                <w:rFonts w:cs="Arial"/>
                <w:i/>
                <w:szCs w:val="22"/>
              </w:rPr>
              <w:t>Sections CW 41-43</w:t>
            </w:r>
          </w:p>
          <w:p w14:paraId="5F682425"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393F7C34" w14:textId="77777777" w:rsidR="00BB0CAC" w:rsidRDefault="00BB0CAC" w:rsidP="000676D8">
            <w:pPr>
              <w:pStyle w:val="TableText"/>
              <w:rPr>
                <w:rFonts w:cs="Arial"/>
                <w:szCs w:val="16"/>
              </w:rPr>
            </w:pPr>
            <w:r w:rsidRPr="00CD766A">
              <w:rPr>
                <w:rFonts w:cs="Arial"/>
                <w:szCs w:val="16"/>
              </w:rPr>
              <w:t>Business, non-business and charitable bequests are exempt income for registered charitable entities. The exemption does not apply to business income to the extent that the charity carries out its charitable purposes outside New Zealand.</w:t>
            </w:r>
          </w:p>
        </w:tc>
        <w:tc>
          <w:tcPr>
            <w:tcW w:w="1015" w:type="pct"/>
          </w:tcPr>
          <w:p w14:paraId="538CABC9"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To subsidise spending on charitable purposes; encourages individuals to </w:t>
            </w:r>
            <w:r>
              <w:rPr>
                <w:rFonts w:cs="Arial"/>
                <w:color w:val="000000"/>
                <w:szCs w:val="16"/>
                <w:lang w:eastAsia="en-NZ"/>
              </w:rPr>
              <w:t>leave bequests to charities</w:t>
            </w:r>
            <w:r w:rsidRPr="00C253BC">
              <w:rPr>
                <w:rFonts w:cs="Arial"/>
                <w:color w:val="000000"/>
                <w:szCs w:val="16"/>
                <w:lang w:eastAsia="en-NZ"/>
              </w:rPr>
              <w:t>.</w:t>
            </w:r>
          </w:p>
          <w:p w14:paraId="56A71024" w14:textId="77777777" w:rsidR="00BB0CAC" w:rsidRPr="00C253BC" w:rsidRDefault="00BB0CAC" w:rsidP="000676D8">
            <w:pPr>
              <w:pStyle w:val="TableText"/>
              <w:rPr>
                <w:rFonts w:cs="Arial"/>
              </w:rPr>
            </w:pPr>
          </w:p>
        </w:tc>
        <w:tc>
          <w:tcPr>
            <w:tcW w:w="196" w:type="pct"/>
            <w:tcMar>
              <w:left w:w="28" w:type="dxa"/>
              <w:right w:w="28" w:type="dxa"/>
            </w:tcMar>
          </w:tcPr>
          <w:p w14:paraId="622311EA" w14:textId="77777777" w:rsidR="00BB0CAC" w:rsidRDefault="00BB0CAC" w:rsidP="000676D8">
            <w:pPr>
              <w:pStyle w:val="TableText"/>
              <w:jc w:val="center"/>
            </w:pPr>
            <w:r w:rsidRPr="00E07D02">
              <w:rPr>
                <w:rFonts w:ascii="Wingdings" w:hAnsi="Wingdings"/>
              </w:rPr>
              <w:t></w:t>
            </w:r>
          </w:p>
        </w:tc>
        <w:tc>
          <w:tcPr>
            <w:tcW w:w="294" w:type="pct"/>
            <w:tcMar>
              <w:left w:w="28" w:type="dxa"/>
              <w:right w:w="28" w:type="dxa"/>
            </w:tcMar>
          </w:tcPr>
          <w:p w14:paraId="767319DE" w14:textId="77777777" w:rsidR="00BB0CAC" w:rsidRDefault="00BB0CAC" w:rsidP="000676D8">
            <w:pPr>
              <w:pStyle w:val="TableText"/>
              <w:jc w:val="center"/>
            </w:pPr>
          </w:p>
        </w:tc>
        <w:tc>
          <w:tcPr>
            <w:tcW w:w="197" w:type="pct"/>
            <w:tcMar>
              <w:left w:w="28" w:type="dxa"/>
              <w:right w:w="28" w:type="dxa"/>
            </w:tcMar>
          </w:tcPr>
          <w:p w14:paraId="38B44E03" w14:textId="77777777" w:rsidR="00BB0CAC" w:rsidRDefault="00BB0CAC" w:rsidP="000676D8">
            <w:pPr>
              <w:pStyle w:val="TableText"/>
              <w:jc w:val="center"/>
            </w:pPr>
          </w:p>
        </w:tc>
        <w:tc>
          <w:tcPr>
            <w:tcW w:w="245" w:type="pct"/>
            <w:tcMar>
              <w:left w:w="28" w:type="dxa"/>
              <w:right w:w="28" w:type="dxa"/>
            </w:tcMar>
          </w:tcPr>
          <w:p w14:paraId="7821A65F" w14:textId="77777777" w:rsidR="00BB0CAC" w:rsidRDefault="00BB0CAC" w:rsidP="000676D8">
            <w:pPr>
              <w:pStyle w:val="TableText"/>
              <w:jc w:val="center"/>
            </w:pPr>
          </w:p>
        </w:tc>
        <w:tc>
          <w:tcPr>
            <w:tcW w:w="246" w:type="pct"/>
            <w:tcMar>
              <w:left w:w="28" w:type="dxa"/>
              <w:right w:w="28" w:type="dxa"/>
            </w:tcMar>
          </w:tcPr>
          <w:p w14:paraId="3DF8902F" w14:textId="77777777" w:rsidR="00BB0CAC" w:rsidRDefault="00BB0CAC" w:rsidP="000676D8">
            <w:pPr>
              <w:pStyle w:val="TableText"/>
              <w:jc w:val="center"/>
            </w:pPr>
          </w:p>
        </w:tc>
        <w:tc>
          <w:tcPr>
            <w:tcW w:w="342" w:type="pct"/>
            <w:tcMar>
              <w:left w:w="28" w:type="dxa"/>
              <w:right w:w="28" w:type="dxa"/>
            </w:tcMar>
          </w:tcPr>
          <w:p w14:paraId="03C036B7" w14:textId="77777777" w:rsidR="00BB0CAC" w:rsidRDefault="00BB0CAC" w:rsidP="000676D8">
            <w:pPr>
              <w:pStyle w:val="TableText"/>
              <w:jc w:val="center"/>
            </w:pPr>
            <w:r w:rsidRPr="00E07D02">
              <w:rPr>
                <w:rFonts w:ascii="Wingdings" w:hAnsi="Wingdings"/>
              </w:rPr>
              <w:t></w:t>
            </w:r>
          </w:p>
        </w:tc>
      </w:tr>
      <w:tr w:rsidR="00BB0CAC" w:rsidRPr="00844BF8" w14:paraId="3984C772" w14:textId="77777777" w:rsidTr="008C1748">
        <w:tc>
          <w:tcPr>
            <w:tcW w:w="883" w:type="pct"/>
          </w:tcPr>
          <w:p w14:paraId="11FEC7FB" w14:textId="77777777" w:rsidR="00BB0CAC" w:rsidRPr="00825723" w:rsidRDefault="00BB0CAC" w:rsidP="000676D8">
            <w:pPr>
              <w:pStyle w:val="TableText"/>
            </w:pPr>
            <w:r>
              <w:t>Community housing</w:t>
            </w:r>
          </w:p>
        </w:tc>
        <w:tc>
          <w:tcPr>
            <w:tcW w:w="567" w:type="pct"/>
          </w:tcPr>
          <w:p w14:paraId="764A991C" w14:textId="77777777" w:rsidR="00BB0CAC" w:rsidRPr="00A96323" w:rsidRDefault="00BB0CAC" w:rsidP="000676D8">
            <w:pPr>
              <w:pStyle w:val="TableText"/>
              <w:rPr>
                <w:rFonts w:cs="Arial"/>
                <w:i/>
                <w:szCs w:val="22"/>
              </w:rPr>
            </w:pPr>
            <w:r w:rsidRPr="00A96323">
              <w:rPr>
                <w:rFonts w:cs="Arial"/>
                <w:i/>
                <w:szCs w:val="22"/>
              </w:rPr>
              <w:t>Section CW 42B</w:t>
            </w:r>
          </w:p>
          <w:p w14:paraId="26E0B877"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16117949" w14:textId="77777777" w:rsidR="00BB0CAC" w:rsidRPr="00CD766A" w:rsidRDefault="00BB0CAC" w:rsidP="000676D8">
            <w:pPr>
              <w:pStyle w:val="TableText"/>
              <w:rPr>
                <w:rFonts w:cs="Arial"/>
                <w:szCs w:val="16"/>
              </w:rPr>
            </w:pPr>
            <w:r>
              <w:rPr>
                <w:rFonts w:cs="Arial"/>
                <w:szCs w:val="16"/>
              </w:rPr>
              <w:t xml:space="preserve">Income derived by community housing entities is exempt income.  </w:t>
            </w:r>
          </w:p>
        </w:tc>
        <w:tc>
          <w:tcPr>
            <w:tcW w:w="1015" w:type="pct"/>
          </w:tcPr>
          <w:p w14:paraId="3766A702" w14:textId="77777777" w:rsidR="00BB0CAC" w:rsidRPr="00C253BC" w:rsidRDefault="00BB0CAC" w:rsidP="000676D8">
            <w:pPr>
              <w:pStyle w:val="TableText"/>
              <w:rPr>
                <w:rFonts w:cs="Arial"/>
              </w:rPr>
            </w:pPr>
            <w:r w:rsidRPr="00C253BC">
              <w:rPr>
                <w:rFonts w:cs="Arial"/>
                <w:color w:val="000000"/>
              </w:rPr>
              <w:t>To help promote home ownership for N</w:t>
            </w:r>
            <w:r>
              <w:rPr>
                <w:rFonts w:cs="Arial"/>
                <w:color w:val="000000"/>
              </w:rPr>
              <w:t xml:space="preserve">ew </w:t>
            </w:r>
            <w:r w:rsidRPr="00C253BC">
              <w:rPr>
                <w:rFonts w:cs="Arial"/>
                <w:color w:val="000000"/>
              </w:rPr>
              <w:t>Z</w:t>
            </w:r>
            <w:r>
              <w:rPr>
                <w:rFonts w:cs="Arial"/>
                <w:color w:val="000000"/>
              </w:rPr>
              <w:t>ealand</w:t>
            </w:r>
            <w:r w:rsidRPr="00C253BC">
              <w:rPr>
                <w:rFonts w:cs="Arial"/>
                <w:color w:val="000000"/>
              </w:rPr>
              <w:t>ers who would not otherwise be able to afford to buy a house. Support</w:t>
            </w:r>
            <w:r>
              <w:rPr>
                <w:rFonts w:cs="Arial"/>
                <w:color w:val="000000"/>
              </w:rPr>
              <w:t>s</w:t>
            </w:r>
            <w:r w:rsidRPr="00C253BC">
              <w:rPr>
                <w:rFonts w:cs="Arial"/>
                <w:color w:val="000000"/>
              </w:rPr>
              <w:t xml:space="preserve"> community housing providers that offer pathways to home ownership to low-income households </w:t>
            </w:r>
            <w:r>
              <w:rPr>
                <w:rFonts w:cs="Arial"/>
                <w:color w:val="000000"/>
              </w:rPr>
              <w:t>but may</w:t>
            </w:r>
            <w:r w:rsidRPr="00C253BC">
              <w:rPr>
                <w:rFonts w:cs="Arial"/>
                <w:color w:val="000000"/>
              </w:rPr>
              <w:t xml:space="preserve"> no longer be</w:t>
            </w:r>
            <w:r>
              <w:rPr>
                <w:rFonts w:cs="Arial"/>
                <w:color w:val="000000"/>
              </w:rPr>
              <w:t xml:space="preserve"> considered charitable entities</w:t>
            </w:r>
            <w:r w:rsidRPr="00C253BC">
              <w:rPr>
                <w:rFonts w:cs="Arial"/>
                <w:color w:val="000000"/>
              </w:rPr>
              <w:t>.</w:t>
            </w:r>
          </w:p>
        </w:tc>
        <w:tc>
          <w:tcPr>
            <w:tcW w:w="196" w:type="pct"/>
            <w:tcMar>
              <w:left w:w="28" w:type="dxa"/>
              <w:right w:w="28" w:type="dxa"/>
            </w:tcMar>
          </w:tcPr>
          <w:p w14:paraId="7821C81F" w14:textId="77777777" w:rsidR="00BB0CAC" w:rsidRPr="00E07D02" w:rsidRDefault="00BB0CAC" w:rsidP="000676D8">
            <w:pPr>
              <w:pStyle w:val="TableText"/>
              <w:jc w:val="center"/>
              <w:rPr>
                <w:rFonts w:ascii="Wingdings" w:hAnsi="Wingdings"/>
              </w:rPr>
            </w:pPr>
            <w:r w:rsidRPr="00E07D02">
              <w:rPr>
                <w:rFonts w:ascii="Wingdings" w:hAnsi="Wingdings"/>
              </w:rPr>
              <w:t></w:t>
            </w:r>
          </w:p>
        </w:tc>
        <w:tc>
          <w:tcPr>
            <w:tcW w:w="294" w:type="pct"/>
            <w:tcMar>
              <w:left w:w="28" w:type="dxa"/>
              <w:right w:w="28" w:type="dxa"/>
            </w:tcMar>
          </w:tcPr>
          <w:p w14:paraId="430749A5" w14:textId="77777777" w:rsidR="00BB0CAC" w:rsidRDefault="00BB0CAC" w:rsidP="000676D8">
            <w:pPr>
              <w:pStyle w:val="TableText"/>
              <w:jc w:val="center"/>
            </w:pPr>
          </w:p>
        </w:tc>
        <w:tc>
          <w:tcPr>
            <w:tcW w:w="197" w:type="pct"/>
            <w:tcMar>
              <w:left w:w="28" w:type="dxa"/>
              <w:right w:w="28" w:type="dxa"/>
            </w:tcMar>
          </w:tcPr>
          <w:p w14:paraId="09A10680" w14:textId="77777777" w:rsidR="00BB0CAC" w:rsidRDefault="00BB0CAC" w:rsidP="000676D8">
            <w:pPr>
              <w:pStyle w:val="TableText"/>
              <w:jc w:val="center"/>
            </w:pPr>
          </w:p>
        </w:tc>
        <w:tc>
          <w:tcPr>
            <w:tcW w:w="245" w:type="pct"/>
            <w:tcMar>
              <w:left w:w="28" w:type="dxa"/>
              <w:right w:w="28" w:type="dxa"/>
            </w:tcMar>
          </w:tcPr>
          <w:p w14:paraId="018321E3" w14:textId="77777777" w:rsidR="00BB0CAC" w:rsidRDefault="00BB0CAC" w:rsidP="000676D8">
            <w:pPr>
              <w:pStyle w:val="TableText"/>
              <w:jc w:val="center"/>
            </w:pPr>
          </w:p>
        </w:tc>
        <w:tc>
          <w:tcPr>
            <w:tcW w:w="246" w:type="pct"/>
            <w:tcMar>
              <w:left w:w="28" w:type="dxa"/>
              <w:right w:w="28" w:type="dxa"/>
            </w:tcMar>
          </w:tcPr>
          <w:p w14:paraId="1EB7BC96" w14:textId="77777777" w:rsidR="00BB0CAC" w:rsidRDefault="00BB0CAC" w:rsidP="000676D8">
            <w:pPr>
              <w:pStyle w:val="TableText"/>
              <w:jc w:val="center"/>
            </w:pPr>
          </w:p>
        </w:tc>
        <w:tc>
          <w:tcPr>
            <w:tcW w:w="342" w:type="pct"/>
            <w:tcMar>
              <w:left w:w="28" w:type="dxa"/>
              <w:right w:w="28" w:type="dxa"/>
            </w:tcMar>
          </w:tcPr>
          <w:p w14:paraId="09CA8609" w14:textId="77777777" w:rsidR="00BB0CAC" w:rsidRPr="00E07D02" w:rsidRDefault="00BB0CAC" w:rsidP="000676D8">
            <w:pPr>
              <w:pStyle w:val="TableText"/>
              <w:jc w:val="center"/>
              <w:rPr>
                <w:rFonts w:ascii="Wingdings" w:hAnsi="Wingdings"/>
              </w:rPr>
            </w:pPr>
            <w:r w:rsidRPr="00E07D02">
              <w:rPr>
                <w:rFonts w:ascii="Wingdings" w:hAnsi="Wingdings"/>
              </w:rPr>
              <w:t></w:t>
            </w:r>
          </w:p>
        </w:tc>
      </w:tr>
      <w:tr w:rsidR="00BB0CAC" w:rsidRPr="00844BF8" w14:paraId="0110AFF6" w14:textId="77777777" w:rsidTr="008C1748">
        <w:tc>
          <w:tcPr>
            <w:tcW w:w="883" w:type="pct"/>
          </w:tcPr>
          <w:p w14:paraId="35E43D24" w14:textId="77777777" w:rsidR="00BB0CAC" w:rsidRDefault="00BB0CAC" w:rsidP="000676D8">
            <w:pPr>
              <w:pStyle w:val="TableText"/>
            </w:pPr>
            <w:r w:rsidRPr="00825723">
              <w:t>Community trusts: exempt income</w:t>
            </w:r>
          </w:p>
        </w:tc>
        <w:tc>
          <w:tcPr>
            <w:tcW w:w="567" w:type="pct"/>
          </w:tcPr>
          <w:p w14:paraId="100A4C46" w14:textId="77777777" w:rsidR="00BB0CAC" w:rsidRPr="00A96323" w:rsidRDefault="00BB0CAC" w:rsidP="000676D8">
            <w:pPr>
              <w:pStyle w:val="TableText"/>
              <w:rPr>
                <w:rFonts w:cs="Arial"/>
                <w:i/>
                <w:szCs w:val="22"/>
              </w:rPr>
            </w:pPr>
            <w:r w:rsidRPr="00A96323">
              <w:rPr>
                <w:rFonts w:cs="Arial"/>
                <w:i/>
                <w:szCs w:val="22"/>
              </w:rPr>
              <w:t>Section CW 52</w:t>
            </w:r>
          </w:p>
          <w:p w14:paraId="761CC3C3" w14:textId="77777777" w:rsidR="00BB0CAC" w:rsidRPr="00A96323" w:rsidRDefault="00BB0CAC" w:rsidP="000676D8">
            <w:pPr>
              <w:pStyle w:val="TableText"/>
              <w:rPr>
                <w:i/>
              </w:rPr>
            </w:pPr>
            <w:r w:rsidRPr="00A96323">
              <w:rPr>
                <w:rFonts w:cs="Arial"/>
                <w:i/>
                <w:szCs w:val="22"/>
              </w:rPr>
              <w:t>-Exemption</w:t>
            </w:r>
          </w:p>
        </w:tc>
        <w:tc>
          <w:tcPr>
            <w:tcW w:w="1015" w:type="pct"/>
          </w:tcPr>
          <w:p w14:paraId="488F01BB" w14:textId="77777777" w:rsidR="00BB0CAC" w:rsidRDefault="00BB0CAC" w:rsidP="000676D8">
            <w:pPr>
              <w:pStyle w:val="TableText"/>
              <w:rPr>
                <w:rFonts w:cs="Arial"/>
                <w:szCs w:val="16"/>
              </w:rPr>
            </w:pPr>
            <w:r w:rsidRPr="00CD766A">
              <w:rPr>
                <w:rFonts w:cs="Arial"/>
                <w:szCs w:val="16"/>
              </w:rPr>
              <w:t>Income derived by the trustee of a community trust is exempt income.</w:t>
            </w:r>
          </w:p>
        </w:tc>
        <w:tc>
          <w:tcPr>
            <w:tcW w:w="1015" w:type="pct"/>
          </w:tcPr>
          <w:p w14:paraId="3142405F"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To assist with providing community benefits for the good of the public.</w:t>
            </w:r>
          </w:p>
        </w:tc>
        <w:tc>
          <w:tcPr>
            <w:tcW w:w="196" w:type="pct"/>
            <w:tcMar>
              <w:left w:w="28" w:type="dxa"/>
              <w:right w:w="28" w:type="dxa"/>
            </w:tcMar>
          </w:tcPr>
          <w:p w14:paraId="55AC4365" w14:textId="77777777" w:rsidR="00BB0CAC" w:rsidRDefault="00BB0CAC" w:rsidP="000676D8">
            <w:pPr>
              <w:pStyle w:val="TableText"/>
              <w:jc w:val="center"/>
            </w:pPr>
            <w:r w:rsidRPr="00E07D02">
              <w:rPr>
                <w:rFonts w:ascii="Wingdings" w:hAnsi="Wingdings"/>
              </w:rPr>
              <w:t></w:t>
            </w:r>
          </w:p>
        </w:tc>
        <w:tc>
          <w:tcPr>
            <w:tcW w:w="294" w:type="pct"/>
            <w:tcMar>
              <w:left w:w="28" w:type="dxa"/>
              <w:right w:w="28" w:type="dxa"/>
            </w:tcMar>
          </w:tcPr>
          <w:p w14:paraId="4CA24D16" w14:textId="77777777" w:rsidR="00BB0CAC" w:rsidRDefault="00BB0CAC" w:rsidP="000676D8">
            <w:pPr>
              <w:pStyle w:val="TableText"/>
              <w:jc w:val="center"/>
            </w:pPr>
          </w:p>
        </w:tc>
        <w:tc>
          <w:tcPr>
            <w:tcW w:w="197" w:type="pct"/>
            <w:tcMar>
              <w:left w:w="28" w:type="dxa"/>
              <w:right w:w="28" w:type="dxa"/>
            </w:tcMar>
          </w:tcPr>
          <w:p w14:paraId="09742534" w14:textId="77777777" w:rsidR="00BB0CAC" w:rsidRDefault="00BB0CAC" w:rsidP="000676D8">
            <w:pPr>
              <w:pStyle w:val="TableText"/>
              <w:jc w:val="center"/>
            </w:pPr>
          </w:p>
        </w:tc>
        <w:tc>
          <w:tcPr>
            <w:tcW w:w="245" w:type="pct"/>
            <w:tcMar>
              <w:left w:w="28" w:type="dxa"/>
              <w:right w:w="28" w:type="dxa"/>
            </w:tcMar>
          </w:tcPr>
          <w:p w14:paraId="47C3F80F" w14:textId="77777777" w:rsidR="00BB0CAC" w:rsidRDefault="00BB0CAC" w:rsidP="000676D8">
            <w:pPr>
              <w:pStyle w:val="TableText"/>
              <w:jc w:val="center"/>
            </w:pPr>
          </w:p>
        </w:tc>
        <w:tc>
          <w:tcPr>
            <w:tcW w:w="246" w:type="pct"/>
            <w:tcMar>
              <w:left w:w="28" w:type="dxa"/>
              <w:right w:w="28" w:type="dxa"/>
            </w:tcMar>
          </w:tcPr>
          <w:p w14:paraId="44102BD2" w14:textId="77777777" w:rsidR="00BB0CAC" w:rsidRDefault="00BB0CAC" w:rsidP="000676D8">
            <w:pPr>
              <w:pStyle w:val="TableText"/>
              <w:jc w:val="center"/>
            </w:pPr>
          </w:p>
        </w:tc>
        <w:tc>
          <w:tcPr>
            <w:tcW w:w="342" w:type="pct"/>
            <w:tcMar>
              <w:left w:w="28" w:type="dxa"/>
              <w:right w:w="28" w:type="dxa"/>
            </w:tcMar>
          </w:tcPr>
          <w:p w14:paraId="3B6DDEFF" w14:textId="77777777" w:rsidR="00BB0CAC" w:rsidRDefault="00BB0CAC" w:rsidP="000676D8">
            <w:pPr>
              <w:pStyle w:val="TableText"/>
              <w:jc w:val="center"/>
            </w:pPr>
            <w:r w:rsidRPr="00E07D02">
              <w:rPr>
                <w:rFonts w:ascii="Wingdings" w:hAnsi="Wingdings"/>
              </w:rPr>
              <w:t></w:t>
            </w:r>
          </w:p>
        </w:tc>
      </w:tr>
      <w:tr w:rsidR="00BB0CAC" w:rsidRPr="00844BF8" w14:paraId="7DE5D432" w14:textId="77777777" w:rsidTr="008C1748">
        <w:tc>
          <w:tcPr>
            <w:tcW w:w="883" w:type="pct"/>
          </w:tcPr>
          <w:p w14:paraId="783B233E" w14:textId="0B281373" w:rsidR="00BB0CAC" w:rsidRPr="00BB6CE6" w:rsidRDefault="00BB0CAC" w:rsidP="000676D8">
            <w:pPr>
              <w:pStyle w:val="TableText"/>
            </w:pPr>
            <w:r w:rsidRPr="00BB6CE6">
              <w:t>Employee share schemes</w:t>
            </w:r>
            <w:r w:rsidR="000C5F94">
              <w:rPr>
                <w:rStyle w:val="FootnoteReference"/>
              </w:rPr>
              <w:footnoteReference w:id="4"/>
            </w:r>
          </w:p>
          <w:p w14:paraId="0FC3E82E" w14:textId="77777777" w:rsidR="00BB0CAC" w:rsidRPr="00BB6CE6" w:rsidRDefault="00BB0CAC" w:rsidP="000676D8">
            <w:pPr>
              <w:pStyle w:val="TableText"/>
            </w:pPr>
          </w:p>
          <w:p w14:paraId="69AEE5E1" w14:textId="77777777" w:rsidR="00BB0CAC" w:rsidRPr="00BB6CE6" w:rsidRDefault="00BB0CAC" w:rsidP="000676D8">
            <w:pPr>
              <w:pStyle w:val="TableText"/>
            </w:pPr>
          </w:p>
        </w:tc>
        <w:tc>
          <w:tcPr>
            <w:tcW w:w="567" w:type="pct"/>
          </w:tcPr>
          <w:p w14:paraId="75B5D947" w14:textId="77777777" w:rsidR="00BB0CAC" w:rsidRPr="00A96323" w:rsidRDefault="00BB0CAC" w:rsidP="000676D8">
            <w:pPr>
              <w:pStyle w:val="TableText"/>
              <w:rPr>
                <w:rFonts w:cs="Arial"/>
                <w:i/>
                <w:szCs w:val="22"/>
              </w:rPr>
            </w:pPr>
            <w:r w:rsidRPr="00A96323">
              <w:rPr>
                <w:rFonts w:cs="Arial"/>
                <w:i/>
                <w:szCs w:val="22"/>
              </w:rPr>
              <w:t>Sections DC 12-15, CE 2</w:t>
            </w:r>
          </w:p>
          <w:p w14:paraId="5C5D7240" w14:textId="77777777" w:rsidR="00BB0CAC" w:rsidRPr="00A96323" w:rsidRDefault="00BB0CAC" w:rsidP="000676D8">
            <w:pPr>
              <w:pStyle w:val="TableText"/>
              <w:rPr>
                <w:rFonts w:cs="Arial"/>
                <w:i/>
                <w:szCs w:val="22"/>
              </w:rPr>
            </w:pPr>
            <w:r w:rsidRPr="00A96323">
              <w:rPr>
                <w:rFonts w:cs="Arial"/>
                <w:i/>
                <w:szCs w:val="22"/>
              </w:rPr>
              <w:t>-Deduction</w:t>
            </w:r>
          </w:p>
        </w:tc>
        <w:tc>
          <w:tcPr>
            <w:tcW w:w="1015" w:type="pct"/>
          </w:tcPr>
          <w:p w14:paraId="07F4EC07" w14:textId="77777777" w:rsidR="00BB0CAC" w:rsidRPr="00BB6CE6" w:rsidRDefault="00BB0CAC" w:rsidP="000676D8">
            <w:pPr>
              <w:pStyle w:val="TableText"/>
              <w:rPr>
                <w:rFonts w:cs="Arial"/>
                <w:szCs w:val="16"/>
              </w:rPr>
            </w:pPr>
            <w:r w:rsidRPr="00BB6CE6">
              <w:rPr>
                <w:rFonts w:cs="Arial"/>
                <w:szCs w:val="16"/>
              </w:rPr>
              <w:t xml:space="preserve">Employers who run a qualifying share scheme are entitled to a notional deduction for interest, employees of such employers are able to take any gains tax free.  </w:t>
            </w:r>
          </w:p>
        </w:tc>
        <w:tc>
          <w:tcPr>
            <w:tcW w:w="1015" w:type="pct"/>
          </w:tcPr>
          <w:p w14:paraId="5A0F75CC" w14:textId="77777777" w:rsidR="00BB0CAC" w:rsidRPr="00BB6CE6" w:rsidRDefault="00BB0CAC" w:rsidP="000676D8">
            <w:pPr>
              <w:pStyle w:val="TableText"/>
              <w:rPr>
                <w:rFonts w:cs="Arial"/>
              </w:rPr>
            </w:pPr>
            <w:r w:rsidRPr="00BB6CE6">
              <w:rPr>
                <w:rFonts w:cs="Arial"/>
                <w:color w:val="000000"/>
              </w:rPr>
              <w:t>To increase opportunities for employee participation in share ownership.</w:t>
            </w:r>
          </w:p>
        </w:tc>
        <w:tc>
          <w:tcPr>
            <w:tcW w:w="196" w:type="pct"/>
            <w:tcMar>
              <w:left w:w="28" w:type="dxa"/>
              <w:right w:w="28" w:type="dxa"/>
            </w:tcMar>
          </w:tcPr>
          <w:p w14:paraId="1E27083A" w14:textId="77777777" w:rsidR="00BB0CAC" w:rsidRPr="00BB6CE6" w:rsidRDefault="00BB0CAC" w:rsidP="000676D8">
            <w:pPr>
              <w:pStyle w:val="TableText"/>
              <w:jc w:val="center"/>
            </w:pPr>
          </w:p>
        </w:tc>
        <w:tc>
          <w:tcPr>
            <w:tcW w:w="294" w:type="pct"/>
            <w:tcMar>
              <w:left w:w="28" w:type="dxa"/>
              <w:right w:w="28" w:type="dxa"/>
            </w:tcMar>
          </w:tcPr>
          <w:p w14:paraId="5A7348E0" w14:textId="77777777" w:rsidR="00BB0CAC" w:rsidRPr="00BB6CE6" w:rsidRDefault="00BB0CAC" w:rsidP="000676D8">
            <w:pPr>
              <w:pStyle w:val="TableText"/>
              <w:jc w:val="center"/>
              <w:rPr>
                <w:rFonts w:ascii="Wingdings" w:hAnsi="Wingdings"/>
              </w:rPr>
            </w:pPr>
            <w:r w:rsidRPr="00BB6CE6">
              <w:rPr>
                <w:rFonts w:ascii="Wingdings" w:hAnsi="Wingdings"/>
              </w:rPr>
              <w:t></w:t>
            </w:r>
          </w:p>
        </w:tc>
        <w:tc>
          <w:tcPr>
            <w:tcW w:w="197" w:type="pct"/>
            <w:tcMar>
              <w:left w:w="28" w:type="dxa"/>
              <w:right w:w="28" w:type="dxa"/>
            </w:tcMar>
          </w:tcPr>
          <w:p w14:paraId="13BF8EDF" w14:textId="77777777" w:rsidR="00BB0CAC" w:rsidRPr="00BB6CE6" w:rsidRDefault="00BB0CAC" w:rsidP="000676D8">
            <w:pPr>
              <w:pStyle w:val="TableText"/>
              <w:jc w:val="center"/>
            </w:pPr>
          </w:p>
        </w:tc>
        <w:tc>
          <w:tcPr>
            <w:tcW w:w="245" w:type="pct"/>
            <w:tcMar>
              <w:left w:w="28" w:type="dxa"/>
              <w:right w:w="28" w:type="dxa"/>
            </w:tcMar>
          </w:tcPr>
          <w:p w14:paraId="36D8BE27" w14:textId="77777777" w:rsidR="00BB0CAC" w:rsidRPr="00BB6CE6" w:rsidRDefault="00BB0CAC" w:rsidP="000676D8">
            <w:pPr>
              <w:pStyle w:val="TableText"/>
              <w:jc w:val="center"/>
            </w:pPr>
          </w:p>
        </w:tc>
        <w:tc>
          <w:tcPr>
            <w:tcW w:w="246" w:type="pct"/>
            <w:tcMar>
              <w:left w:w="28" w:type="dxa"/>
              <w:right w:w="28" w:type="dxa"/>
            </w:tcMar>
          </w:tcPr>
          <w:p w14:paraId="3403C066" w14:textId="77777777" w:rsidR="00BB0CAC" w:rsidRPr="00BB6CE6" w:rsidRDefault="00BB0CAC" w:rsidP="000676D8">
            <w:pPr>
              <w:pStyle w:val="TableText"/>
              <w:jc w:val="center"/>
              <w:rPr>
                <w:rFonts w:ascii="Wingdings" w:hAnsi="Wingdings"/>
              </w:rPr>
            </w:pPr>
          </w:p>
        </w:tc>
        <w:tc>
          <w:tcPr>
            <w:tcW w:w="342" w:type="pct"/>
            <w:tcMar>
              <w:left w:w="28" w:type="dxa"/>
              <w:right w:w="28" w:type="dxa"/>
            </w:tcMar>
          </w:tcPr>
          <w:p w14:paraId="0EF8E7EB" w14:textId="77777777" w:rsidR="00BB0CAC" w:rsidRPr="00BB6CE6" w:rsidRDefault="00BB0CAC" w:rsidP="000676D8">
            <w:pPr>
              <w:pStyle w:val="TableText"/>
              <w:jc w:val="center"/>
              <w:rPr>
                <w:rFonts w:ascii="Wingdings" w:hAnsi="Wingdings"/>
              </w:rPr>
            </w:pPr>
            <w:r w:rsidRPr="00BB6CE6">
              <w:rPr>
                <w:rFonts w:ascii="Wingdings" w:hAnsi="Wingdings"/>
              </w:rPr>
              <w:t></w:t>
            </w:r>
          </w:p>
        </w:tc>
      </w:tr>
      <w:tr w:rsidR="00BB0CAC" w:rsidRPr="00844BF8" w14:paraId="76E37093" w14:textId="77777777" w:rsidTr="008C1748">
        <w:tc>
          <w:tcPr>
            <w:tcW w:w="883" w:type="pct"/>
          </w:tcPr>
          <w:p w14:paraId="750A7A59" w14:textId="77777777" w:rsidR="00BB0CAC" w:rsidRDefault="00BB0CAC" w:rsidP="000676D8">
            <w:pPr>
              <w:pStyle w:val="TableText"/>
              <w:pageBreakBefore/>
            </w:pPr>
            <w:r w:rsidRPr="00825723">
              <w:lastRenderedPageBreak/>
              <w:t>Farming business expenditure</w:t>
            </w:r>
            <w:r>
              <w:t>: accelerated deductions</w:t>
            </w:r>
          </w:p>
        </w:tc>
        <w:tc>
          <w:tcPr>
            <w:tcW w:w="567" w:type="pct"/>
          </w:tcPr>
          <w:p w14:paraId="2E048FA9" w14:textId="77777777" w:rsidR="00BB0CAC" w:rsidRPr="00A96323" w:rsidRDefault="00BB0CAC" w:rsidP="000676D8">
            <w:pPr>
              <w:pStyle w:val="TableText"/>
              <w:rPr>
                <w:rFonts w:cs="Arial"/>
                <w:i/>
                <w:szCs w:val="22"/>
              </w:rPr>
            </w:pPr>
            <w:r w:rsidRPr="00A96323">
              <w:rPr>
                <w:rFonts w:cs="Arial"/>
                <w:i/>
                <w:szCs w:val="22"/>
              </w:rPr>
              <w:t>Sections DO 1-3, DO 10</w:t>
            </w:r>
          </w:p>
          <w:p w14:paraId="00080C75" w14:textId="77777777" w:rsidR="00BB0CAC" w:rsidRPr="00A96323" w:rsidRDefault="00BB0CAC" w:rsidP="000676D8">
            <w:pPr>
              <w:pStyle w:val="TableText"/>
              <w:rPr>
                <w:i/>
              </w:rPr>
            </w:pPr>
            <w:r w:rsidRPr="00A96323">
              <w:rPr>
                <w:rFonts w:cs="Arial"/>
                <w:i/>
                <w:szCs w:val="22"/>
              </w:rPr>
              <w:t>-Deduction</w:t>
            </w:r>
          </w:p>
        </w:tc>
        <w:tc>
          <w:tcPr>
            <w:tcW w:w="1015" w:type="pct"/>
          </w:tcPr>
          <w:p w14:paraId="4FD2919C" w14:textId="77777777" w:rsidR="00BB0CAC" w:rsidRDefault="00BB0CAC" w:rsidP="000676D8">
            <w:pPr>
              <w:pStyle w:val="TableText"/>
              <w:rPr>
                <w:rFonts w:cs="Arial"/>
                <w:szCs w:val="16"/>
              </w:rPr>
            </w:pPr>
            <w:r w:rsidRPr="00CD766A">
              <w:rPr>
                <w:rFonts w:cs="Arial"/>
                <w:szCs w:val="16"/>
              </w:rPr>
              <w:t xml:space="preserve">Certain deductions granted for improvements and enhancements to land for farming can be expensed rather than treated as capital and amortised, </w:t>
            </w:r>
            <w:r>
              <w:rPr>
                <w:rFonts w:cs="Arial"/>
                <w:szCs w:val="16"/>
              </w:rPr>
              <w:t>eg,</w:t>
            </w:r>
            <w:r w:rsidRPr="00CD766A">
              <w:rPr>
                <w:rFonts w:cs="Arial"/>
                <w:szCs w:val="16"/>
              </w:rPr>
              <w:t xml:space="preserve"> fencing. </w:t>
            </w:r>
          </w:p>
        </w:tc>
        <w:tc>
          <w:tcPr>
            <w:tcW w:w="1015" w:type="pct"/>
          </w:tcPr>
          <w:p w14:paraId="5C28F4D9" w14:textId="77777777" w:rsidR="00BB0CAC" w:rsidRPr="00C253BC" w:rsidRDefault="00BB0CAC" w:rsidP="000676D8">
            <w:pPr>
              <w:pStyle w:val="TableText"/>
              <w:rPr>
                <w:rFonts w:cs="Arial"/>
              </w:rPr>
            </w:pPr>
            <w:r>
              <w:rPr>
                <w:rFonts w:cs="Arial"/>
                <w:color w:val="000000"/>
              </w:rPr>
              <w:t>T</w:t>
            </w:r>
            <w:r w:rsidRPr="00C253BC">
              <w:rPr>
                <w:rFonts w:cs="Arial"/>
                <w:color w:val="000000"/>
              </w:rPr>
              <w:t>o increase the productive capacit</w:t>
            </w:r>
            <w:r>
              <w:rPr>
                <w:rFonts w:cs="Arial"/>
                <w:color w:val="000000"/>
              </w:rPr>
              <w:t>y of existing farm and</w:t>
            </w:r>
            <w:r w:rsidRPr="00C253BC">
              <w:rPr>
                <w:rFonts w:cs="Arial"/>
                <w:color w:val="000000"/>
              </w:rPr>
              <w:t xml:space="preserve"> the quality of the nation</w:t>
            </w:r>
            <w:r>
              <w:rPr>
                <w:rFonts w:cs="Arial"/>
                <w:color w:val="000000"/>
              </w:rPr>
              <w:t>’</w:t>
            </w:r>
            <w:r w:rsidRPr="00C253BC">
              <w:rPr>
                <w:rFonts w:cs="Arial"/>
                <w:color w:val="000000"/>
              </w:rPr>
              <w:t>s exports.</w:t>
            </w:r>
          </w:p>
        </w:tc>
        <w:tc>
          <w:tcPr>
            <w:tcW w:w="196" w:type="pct"/>
            <w:tcMar>
              <w:left w:w="28" w:type="dxa"/>
              <w:right w:w="28" w:type="dxa"/>
            </w:tcMar>
          </w:tcPr>
          <w:p w14:paraId="2A4614E1" w14:textId="77777777" w:rsidR="00BB0CAC" w:rsidRDefault="00BB0CAC" w:rsidP="000676D8">
            <w:pPr>
              <w:pStyle w:val="TableText"/>
              <w:jc w:val="center"/>
            </w:pPr>
          </w:p>
        </w:tc>
        <w:tc>
          <w:tcPr>
            <w:tcW w:w="294" w:type="pct"/>
            <w:tcMar>
              <w:left w:w="28" w:type="dxa"/>
              <w:right w:w="28" w:type="dxa"/>
            </w:tcMar>
          </w:tcPr>
          <w:p w14:paraId="5D9BD2BB" w14:textId="77777777" w:rsidR="00BB0CAC" w:rsidRDefault="00BB0CAC" w:rsidP="000676D8">
            <w:pPr>
              <w:pStyle w:val="TableText"/>
              <w:jc w:val="center"/>
            </w:pPr>
            <w:r w:rsidRPr="00E07D02">
              <w:rPr>
                <w:rFonts w:ascii="Wingdings" w:hAnsi="Wingdings"/>
              </w:rPr>
              <w:t></w:t>
            </w:r>
          </w:p>
        </w:tc>
        <w:tc>
          <w:tcPr>
            <w:tcW w:w="197" w:type="pct"/>
            <w:tcMar>
              <w:left w:w="28" w:type="dxa"/>
              <w:right w:w="28" w:type="dxa"/>
            </w:tcMar>
          </w:tcPr>
          <w:p w14:paraId="3DF0255A" w14:textId="77777777" w:rsidR="00BB0CAC" w:rsidRDefault="00BB0CAC" w:rsidP="000676D8">
            <w:pPr>
              <w:pStyle w:val="TableText"/>
              <w:jc w:val="center"/>
            </w:pPr>
          </w:p>
        </w:tc>
        <w:tc>
          <w:tcPr>
            <w:tcW w:w="245" w:type="pct"/>
            <w:tcMar>
              <w:left w:w="28" w:type="dxa"/>
              <w:right w:w="28" w:type="dxa"/>
            </w:tcMar>
          </w:tcPr>
          <w:p w14:paraId="40D5CA3B" w14:textId="77777777" w:rsidR="00BB0CAC" w:rsidRDefault="00BB0CAC" w:rsidP="000676D8">
            <w:pPr>
              <w:pStyle w:val="TableText"/>
              <w:jc w:val="center"/>
            </w:pPr>
          </w:p>
        </w:tc>
        <w:tc>
          <w:tcPr>
            <w:tcW w:w="246" w:type="pct"/>
            <w:tcMar>
              <w:left w:w="28" w:type="dxa"/>
              <w:right w:w="28" w:type="dxa"/>
            </w:tcMar>
          </w:tcPr>
          <w:p w14:paraId="64BC1FC9" w14:textId="77777777" w:rsidR="00BB0CAC" w:rsidRDefault="00BB0CAC" w:rsidP="000676D8">
            <w:pPr>
              <w:pStyle w:val="TableText"/>
              <w:jc w:val="center"/>
            </w:pPr>
            <w:r w:rsidRPr="00E07D02">
              <w:rPr>
                <w:rFonts w:ascii="Wingdings" w:hAnsi="Wingdings"/>
              </w:rPr>
              <w:t></w:t>
            </w:r>
          </w:p>
        </w:tc>
        <w:tc>
          <w:tcPr>
            <w:tcW w:w="342" w:type="pct"/>
            <w:tcMar>
              <w:left w:w="28" w:type="dxa"/>
              <w:right w:w="28" w:type="dxa"/>
            </w:tcMar>
          </w:tcPr>
          <w:p w14:paraId="201C4082" w14:textId="77777777" w:rsidR="00BB0CAC" w:rsidRDefault="00BB0CAC" w:rsidP="000676D8">
            <w:pPr>
              <w:pStyle w:val="TableText"/>
              <w:jc w:val="center"/>
            </w:pPr>
            <w:r w:rsidRPr="00E07D02">
              <w:rPr>
                <w:rFonts w:ascii="Wingdings" w:hAnsi="Wingdings"/>
              </w:rPr>
              <w:t></w:t>
            </w:r>
          </w:p>
        </w:tc>
      </w:tr>
      <w:tr w:rsidR="00BB0CAC" w:rsidRPr="00844BF8" w14:paraId="04E8075D" w14:textId="77777777" w:rsidTr="008C1748">
        <w:tc>
          <w:tcPr>
            <w:tcW w:w="883" w:type="pct"/>
          </w:tcPr>
          <w:p w14:paraId="0E629DD5" w14:textId="77777777" w:rsidR="00BB0CAC" w:rsidRDefault="00BB0CAC" w:rsidP="000676D8">
            <w:pPr>
              <w:pStyle w:val="TableText"/>
            </w:pPr>
            <w:r w:rsidRPr="00825723">
              <w:t xml:space="preserve">Film industry expenditure: </w:t>
            </w:r>
            <w:r>
              <w:t xml:space="preserve">accelerated </w:t>
            </w:r>
            <w:r w:rsidRPr="00825723">
              <w:t>deduction</w:t>
            </w:r>
            <w:r>
              <w:t>s</w:t>
            </w:r>
          </w:p>
        </w:tc>
        <w:tc>
          <w:tcPr>
            <w:tcW w:w="567" w:type="pct"/>
          </w:tcPr>
          <w:p w14:paraId="784DB38A" w14:textId="77777777" w:rsidR="00BB0CAC" w:rsidRPr="00A96323" w:rsidRDefault="00BB0CAC" w:rsidP="000676D8">
            <w:pPr>
              <w:pStyle w:val="TableText"/>
              <w:rPr>
                <w:rFonts w:cs="Arial"/>
                <w:i/>
                <w:szCs w:val="22"/>
              </w:rPr>
            </w:pPr>
            <w:r w:rsidRPr="00A96323">
              <w:rPr>
                <w:rFonts w:cs="Arial"/>
                <w:i/>
                <w:szCs w:val="22"/>
              </w:rPr>
              <w:t>Section DS 1-4</w:t>
            </w:r>
          </w:p>
          <w:p w14:paraId="57EDBA0E" w14:textId="77777777" w:rsidR="00BB0CAC" w:rsidRPr="00A96323" w:rsidRDefault="00BB0CAC" w:rsidP="000676D8">
            <w:pPr>
              <w:pStyle w:val="TableText"/>
              <w:rPr>
                <w:i/>
              </w:rPr>
            </w:pPr>
            <w:r w:rsidRPr="00A96323">
              <w:rPr>
                <w:rFonts w:cs="Arial"/>
                <w:i/>
                <w:szCs w:val="22"/>
              </w:rPr>
              <w:t>-Deduction</w:t>
            </w:r>
          </w:p>
        </w:tc>
        <w:tc>
          <w:tcPr>
            <w:tcW w:w="1015" w:type="pct"/>
          </w:tcPr>
          <w:p w14:paraId="56078DEA" w14:textId="77777777" w:rsidR="00BB0CAC" w:rsidRDefault="00BB0CAC" w:rsidP="000676D8">
            <w:pPr>
              <w:pStyle w:val="TableText"/>
              <w:rPr>
                <w:rFonts w:cs="Arial"/>
                <w:bCs/>
                <w:szCs w:val="16"/>
              </w:rPr>
            </w:pPr>
            <w:r w:rsidRPr="00CD766A">
              <w:rPr>
                <w:rFonts w:cs="Arial"/>
                <w:bCs/>
                <w:szCs w:val="16"/>
              </w:rPr>
              <w:t>Expenditure incurred acquiring film rights or film production expenditure can be expensed over a specified time frame.</w:t>
            </w:r>
          </w:p>
        </w:tc>
        <w:tc>
          <w:tcPr>
            <w:tcW w:w="1015" w:type="pct"/>
          </w:tcPr>
          <w:p w14:paraId="7ADC3A3F"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To encourage the development of the New Zealand screen production industry.</w:t>
            </w:r>
          </w:p>
        </w:tc>
        <w:tc>
          <w:tcPr>
            <w:tcW w:w="196" w:type="pct"/>
            <w:tcMar>
              <w:left w:w="28" w:type="dxa"/>
              <w:right w:w="28" w:type="dxa"/>
            </w:tcMar>
          </w:tcPr>
          <w:p w14:paraId="6DB386D5" w14:textId="77777777" w:rsidR="00BB0CAC" w:rsidRDefault="00BB0CAC" w:rsidP="000676D8">
            <w:pPr>
              <w:pStyle w:val="TableText"/>
              <w:jc w:val="center"/>
            </w:pPr>
          </w:p>
        </w:tc>
        <w:tc>
          <w:tcPr>
            <w:tcW w:w="294" w:type="pct"/>
            <w:tcMar>
              <w:left w:w="28" w:type="dxa"/>
              <w:right w:w="28" w:type="dxa"/>
            </w:tcMar>
          </w:tcPr>
          <w:p w14:paraId="1B4894A3" w14:textId="77777777" w:rsidR="00BB0CAC" w:rsidRDefault="00BB0CAC" w:rsidP="000676D8">
            <w:pPr>
              <w:pStyle w:val="TableText"/>
              <w:jc w:val="center"/>
            </w:pPr>
            <w:r w:rsidRPr="00E07D02">
              <w:rPr>
                <w:rFonts w:ascii="Wingdings" w:hAnsi="Wingdings"/>
              </w:rPr>
              <w:t></w:t>
            </w:r>
          </w:p>
        </w:tc>
        <w:tc>
          <w:tcPr>
            <w:tcW w:w="197" w:type="pct"/>
            <w:tcMar>
              <w:left w:w="28" w:type="dxa"/>
              <w:right w:w="28" w:type="dxa"/>
            </w:tcMar>
          </w:tcPr>
          <w:p w14:paraId="4A7B0369" w14:textId="77777777" w:rsidR="00BB0CAC" w:rsidRDefault="00BB0CAC" w:rsidP="000676D8">
            <w:pPr>
              <w:pStyle w:val="TableText"/>
              <w:jc w:val="center"/>
            </w:pPr>
          </w:p>
        </w:tc>
        <w:tc>
          <w:tcPr>
            <w:tcW w:w="245" w:type="pct"/>
            <w:tcMar>
              <w:left w:w="28" w:type="dxa"/>
              <w:right w:w="28" w:type="dxa"/>
            </w:tcMar>
          </w:tcPr>
          <w:p w14:paraId="6C3EB6F2" w14:textId="77777777" w:rsidR="00BB0CAC" w:rsidRDefault="00BB0CAC" w:rsidP="000676D8">
            <w:pPr>
              <w:pStyle w:val="TableText"/>
              <w:jc w:val="center"/>
            </w:pPr>
          </w:p>
        </w:tc>
        <w:tc>
          <w:tcPr>
            <w:tcW w:w="246" w:type="pct"/>
            <w:tcMar>
              <w:left w:w="28" w:type="dxa"/>
              <w:right w:w="28" w:type="dxa"/>
            </w:tcMar>
          </w:tcPr>
          <w:p w14:paraId="3CFD6005" w14:textId="77777777" w:rsidR="00BB0CAC" w:rsidRDefault="00BB0CAC" w:rsidP="000676D8">
            <w:pPr>
              <w:pStyle w:val="TableText"/>
              <w:jc w:val="center"/>
            </w:pPr>
            <w:r w:rsidRPr="00E07D02">
              <w:rPr>
                <w:rFonts w:ascii="Wingdings" w:hAnsi="Wingdings"/>
              </w:rPr>
              <w:t></w:t>
            </w:r>
          </w:p>
        </w:tc>
        <w:tc>
          <w:tcPr>
            <w:tcW w:w="342" w:type="pct"/>
            <w:tcMar>
              <w:left w:w="28" w:type="dxa"/>
              <w:right w:w="28" w:type="dxa"/>
            </w:tcMar>
          </w:tcPr>
          <w:p w14:paraId="5F596E44" w14:textId="77777777" w:rsidR="00BB0CAC" w:rsidRDefault="00BB0CAC" w:rsidP="000676D8">
            <w:pPr>
              <w:pStyle w:val="TableText"/>
              <w:jc w:val="center"/>
            </w:pPr>
          </w:p>
        </w:tc>
      </w:tr>
      <w:tr w:rsidR="00BB0CAC" w:rsidRPr="00844BF8" w14:paraId="0513CC75" w14:textId="77777777" w:rsidTr="008C1748">
        <w:tc>
          <w:tcPr>
            <w:tcW w:w="883" w:type="pct"/>
          </w:tcPr>
          <w:p w14:paraId="546F3A66" w14:textId="77777777" w:rsidR="00BB0CAC" w:rsidRDefault="00BB0CAC" w:rsidP="000676D8">
            <w:pPr>
              <w:pStyle w:val="TableText"/>
            </w:pPr>
            <w:r w:rsidRPr="00825723">
              <w:t>Forestry encouragement grant</w:t>
            </w:r>
            <w:r>
              <w:t>: accelerated deductions</w:t>
            </w:r>
          </w:p>
        </w:tc>
        <w:tc>
          <w:tcPr>
            <w:tcW w:w="567" w:type="pct"/>
          </w:tcPr>
          <w:p w14:paraId="4A203D10" w14:textId="77777777" w:rsidR="00BB0CAC" w:rsidRPr="00A96323" w:rsidRDefault="00BB0CAC" w:rsidP="000676D8">
            <w:pPr>
              <w:pStyle w:val="TableText"/>
              <w:rPr>
                <w:rFonts w:cs="Arial"/>
                <w:i/>
                <w:szCs w:val="22"/>
              </w:rPr>
            </w:pPr>
            <w:r w:rsidRPr="00A96323">
              <w:rPr>
                <w:rFonts w:cs="Arial"/>
                <w:i/>
                <w:szCs w:val="22"/>
              </w:rPr>
              <w:t>Section DP 5</w:t>
            </w:r>
          </w:p>
          <w:p w14:paraId="51D358C4" w14:textId="77777777" w:rsidR="00BB0CAC" w:rsidRPr="00A96323" w:rsidRDefault="00BB0CAC" w:rsidP="000676D8">
            <w:pPr>
              <w:pStyle w:val="TableText"/>
              <w:rPr>
                <w:rFonts w:cs="Arial"/>
                <w:i/>
                <w:szCs w:val="22"/>
              </w:rPr>
            </w:pPr>
            <w:r w:rsidRPr="00A96323">
              <w:rPr>
                <w:rFonts w:cs="Arial"/>
                <w:i/>
                <w:szCs w:val="22"/>
              </w:rPr>
              <w:t>-Deduction</w:t>
            </w:r>
          </w:p>
        </w:tc>
        <w:tc>
          <w:tcPr>
            <w:tcW w:w="1015" w:type="pct"/>
          </w:tcPr>
          <w:p w14:paraId="34013BC2" w14:textId="77777777" w:rsidR="00BB0CAC" w:rsidRDefault="00BB0CAC" w:rsidP="000676D8">
            <w:pPr>
              <w:pStyle w:val="TableText"/>
              <w:rPr>
                <w:szCs w:val="16"/>
              </w:rPr>
            </w:pPr>
            <w:r w:rsidRPr="00CD766A">
              <w:rPr>
                <w:szCs w:val="16"/>
              </w:rPr>
              <w:t xml:space="preserve">Forestry expenditure incurred by a person who derives a forestry encouragement grant that is not grant related is immediately deductible.  </w:t>
            </w:r>
          </w:p>
        </w:tc>
        <w:tc>
          <w:tcPr>
            <w:tcW w:w="1015" w:type="pct"/>
          </w:tcPr>
          <w:p w14:paraId="2E5E522D" w14:textId="77777777" w:rsidR="00BB0CAC" w:rsidRPr="00C253BC" w:rsidRDefault="00BB0CAC" w:rsidP="000676D8">
            <w:pPr>
              <w:pStyle w:val="TableText"/>
              <w:rPr>
                <w:rFonts w:cs="Arial"/>
              </w:rPr>
            </w:pPr>
            <w:r w:rsidRPr="00C253BC">
              <w:rPr>
                <w:rFonts w:cs="Arial"/>
                <w:color w:val="000000"/>
              </w:rPr>
              <w:t>To encourage the planting of woodlots to ensure an adequate supply of timber for future need.</w:t>
            </w:r>
          </w:p>
        </w:tc>
        <w:tc>
          <w:tcPr>
            <w:tcW w:w="196" w:type="pct"/>
            <w:tcMar>
              <w:left w:w="28" w:type="dxa"/>
              <w:right w:w="28" w:type="dxa"/>
            </w:tcMar>
          </w:tcPr>
          <w:p w14:paraId="738353DF" w14:textId="77777777" w:rsidR="00BB0CAC" w:rsidRDefault="00BB0CAC" w:rsidP="000676D8">
            <w:pPr>
              <w:pStyle w:val="TableText"/>
              <w:jc w:val="center"/>
            </w:pPr>
          </w:p>
        </w:tc>
        <w:tc>
          <w:tcPr>
            <w:tcW w:w="294" w:type="pct"/>
            <w:tcMar>
              <w:left w:w="28" w:type="dxa"/>
              <w:right w:w="28" w:type="dxa"/>
            </w:tcMar>
          </w:tcPr>
          <w:p w14:paraId="103595D0" w14:textId="77777777" w:rsidR="00BB0CAC" w:rsidRDefault="00BB0CAC" w:rsidP="000676D8">
            <w:pPr>
              <w:pStyle w:val="TableText"/>
              <w:jc w:val="center"/>
            </w:pPr>
            <w:r w:rsidRPr="00E07D02">
              <w:rPr>
                <w:rFonts w:ascii="Wingdings" w:hAnsi="Wingdings"/>
              </w:rPr>
              <w:t></w:t>
            </w:r>
          </w:p>
        </w:tc>
        <w:tc>
          <w:tcPr>
            <w:tcW w:w="197" w:type="pct"/>
            <w:tcMar>
              <w:left w:w="28" w:type="dxa"/>
              <w:right w:w="28" w:type="dxa"/>
            </w:tcMar>
          </w:tcPr>
          <w:p w14:paraId="72C11384" w14:textId="77777777" w:rsidR="00BB0CAC" w:rsidRDefault="00BB0CAC" w:rsidP="000676D8">
            <w:pPr>
              <w:pStyle w:val="TableText"/>
              <w:jc w:val="center"/>
            </w:pPr>
          </w:p>
        </w:tc>
        <w:tc>
          <w:tcPr>
            <w:tcW w:w="245" w:type="pct"/>
            <w:tcMar>
              <w:left w:w="28" w:type="dxa"/>
              <w:right w:w="28" w:type="dxa"/>
            </w:tcMar>
          </w:tcPr>
          <w:p w14:paraId="7416AFAD" w14:textId="77777777" w:rsidR="00BB0CAC" w:rsidRDefault="00BB0CAC" w:rsidP="000676D8">
            <w:pPr>
              <w:pStyle w:val="TableText"/>
              <w:jc w:val="center"/>
            </w:pPr>
            <w:r w:rsidRPr="00E07D02">
              <w:rPr>
                <w:rFonts w:ascii="Wingdings" w:hAnsi="Wingdings"/>
              </w:rPr>
              <w:t></w:t>
            </w:r>
          </w:p>
        </w:tc>
        <w:tc>
          <w:tcPr>
            <w:tcW w:w="246" w:type="pct"/>
            <w:tcMar>
              <w:left w:w="28" w:type="dxa"/>
              <w:right w:w="28" w:type="dxa"/>
            </w:tcMar>
          </w:tcPr>
          <w:p w14:paraId="255E8273" w14:textId="77777777" w:rsidR="00BB0CAC" w:rsidRDefault="00BB0CAC" w:rsidP="000676D8">
            <w:pPr>
              <w:pStyle w:val="TableText"/>
              <w:jc w:val="center"/>
            </w:pPr>
            <w:r w:rsidRPr="00E07D02">
              <w:rPr>
                <w:rFonts w:ascii="Wingdings" w:hAnsi="Wingdings"/>
              </w:rPr>
              <w:t></w:t>
            </w:r>
          </w:p>
        </w:tc>
        <w:tc>
          <w:tcPr>
            <w:tcW w:w="342" w:type="pct"/>
            <w:tcMar>
              <w:left w:w="28" w:type="dxa"/>
              <w:right w:w="28" w:type="dxa"/>
            </w:tcMar>
          </w:tcPr>
          <w:p w14:paraId="35BF4055" w14:textId="77777777" w:rsidR="00BB0CAC" w:rsidRDefault="00BB0CAC" w:rsidP="000676D8">
            <w:pPr>
              <w:pStyle w:val="TableText"/>
              <w:jc w:val="center"/>
            </w:pPr>
          </w:p>
        </w:tc>
      </w:tr>
      <w:tr w:rsidR="00BB0CAC" w:rsidRPr="00844BF8" w14:paraId="26C34401" w14:textId="77777777" w:rsidTr="008C1748">
        <w:tc>
          <w:tcPr>
            <w:tcW w:w="883" w:type="pct"/>
          </w:tcPr>
          <w:p w14:paraId="6397543B" w14:textId="77777777" w:rsidR="00BB0CAC" w:rsidRDefault="00BB0CAC" w:rsidP="000676D8">
            <w:pPr>
              <w:pStyle w:val="TableText"/>
            </w:pPr>
            <w:r w:rsidRPr="00825723">
              <w:t>Forestry expenditure</w:t>
            </w:r>
            <w:r>
              <w:t>: accelerated deductions</w:t>
            </w:r>
          </w:p>
        </w:tc>
        <w:tc>
          <w:tcPr>
            <w:tcW w:w="567" w:type="pct"/>
          </w:tcPr>
          <w:p w14:paraId="3F875052" w14:textId="77777777" w:rsidR="00BB0CAC" w:rsidRPr="00A96323" w:rsidRDefault="00BB0CAC" w:rsidP="000676D8">
            <w:pPr>
              <w:pStyle w:val="TableText"/>
              <w:rPr>
                <w:rFonts w:cs="Arial"/>
                <w:i/>
                <w:szCs w:val="22"/>
              </w:rPr>
            </w:pPr>
            <w:r w:rsidRPr="00A96323">
              <w:rPr>
                <w:rFonts w:cs="Arial"/>
                <w:i/>
                <w:szCs w:val="22"/>
              </w:rPr>
              <w:t xml:space="preserve">Section DP 1 </w:t>
            </w:r>
          </w:p>
          <w:p w14:paraId="4521416A" w14:textId="77777777" w:rsidR="00BB0CAC" w:rsidRPr="00A96323" w:rsidRDefault="00BB0CAC" w:rsidP="000676D8">
            <w:pPr>
              <w:pStyle w:val="TableText"/>
              <w:rPr>
                <w:i/>
              </w:rPr>
            </w:pPr>
            <w:r w:rsidRPr="00A96323">
              <w:rPr>
                <w:rFonts w:cs="Arial"/>
                <w:i/>
                <w:szCs w:val="22"/>
              </w:rPr>
              <w:t>-Deduction</w:t>
            </w:r>
          </w:p>
        </w:tc>
        <w:tc>
          <w:tcPr>
            <w:tcW w:w="1015" w:type="pct"/>
          </w:tcPr>
          <w:p w14:paraId="27D7615E" w14:textId="77777777" w:rsidR="00BB0CAC" w:rsidRDefault="00BB0CAC" w:rsidP="000676D8">
            <w:pPr>
              <w:pStyle w:val="TableText"/>
              <w:rPr>
                <w:rFonts w:cs="Arial"/>
                <w:szCs w:val="16"/>
              </w:rPr>
            </w:pPr>
            <w:r w:rsidRPr="00CD766A">
              <w:rPr>
                <w:rFonts w:cs="Arial"/>
                <w:szCs w:val="16"/>
              </w:rPr>
              <w:t>Expenditures associated with forestry (</w:t>
            </w:r>
            <w:r>
              <w:rPr>
                <w:rFonts w:cs="Arial"/>
                <w:szCs w:val="16"/>
              </w:rPr>
              <w:t>eg,</w:t>
            </w:r>
            <w:r w:rsidRPr="00CD766A">
              <w:rPr>
                <w:rFonts w:cs="Arial"/>
                <w:szCs w:val="16"/>
              </w:rPr>
              <w:t xml:space="preserve"> planting or tending costs) can be expensed rather than capitalised against harvest proceeds.</w:t>
            </w:r>
          </w:p>
        </w:tc>
        <w:tc>
          <w:tcPr>
            <w:tcW w:w="1015" w:type="pct"/>
          </w:tcPr>
          <w:p w14:paraId="0CBF0F2B"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T</w:t>
            </w:r>
            <w:r w:rsidRPr="00C253BC">
              <w:rPr>
                <w:rFonts w:cs="Arial"/>
                <w:color w:val="000000"/>
                <w:szCs w:val="16"/>
                <w:lang w:eastAsia="en-NZ"/>
              </w:rPr>
              <w:t xml:space="preserve">o </w:t>
            </w:r>
            <w:r>
              <w:rPr>
                <w:rFonts w:cs="Arial"/>
                <w:color w:val="000000"/>
                <w:szCs w:val="16"/>
                <w:lang w:eastAsia="en-NZ"/>
              </w:rPr>
              <w:t xml:space="preserve">encourage the </w:t>
            </w:r>
            <w:r w:rsidRPr="00C253BC">
              <w:rPr>
                <w:rFonts w:cs="Arial"/>
                <w:color w:val="000000"/>
                <w:szCs w:val="16"/>
                <w:lang w:eastAsia="en-NZ"/>
              </w:rPr>
              <w:t>establish</w:t>
            </w:r>
            <w:r>
              <w:rPr>
                <w:rFonts w:cs="Arial"/>
                <w:color w:val="000000"/>
                <w:szCs w:val="16"/>
                <w:lang w:eastAsia="en-NZ"/>
              </w:rPr>
              <w:t>ment of</w:t>
            </w:r>
            <w:r w:rsidRPr="00C253BC">
              <w:rPr>
                <w:rFonts w:cs="Arial"/>
                <w:color w:val="000000"/>
                <w:szCs w:val="16"/>
                <w:lang w:eastAsia="en-NZ"/>
              </w:rPr>
              <w:t xml:space="preserve"> new forests.</w:t>
            </w:r>
          </w:p>
          <w:p w14:paraId="18B5AB0E" w14:textId="77777777" w:rsidR="00BB0CAC" w:rsidRPr="00C253BC" w:rsidRDefault="00BB0CAC" w:rsidP="000676D8">
            <w:pPr>
              <w:pStyle w:val="TableText"/>
              <w:rPr>
                <w:rFonts w:cs="Arial"/>
              </w:rPr>
            </w:pPr>
          </w:p>
        </w:tc>
        <w:tc>
          <w:tcPr>
            <w:tcW w:w="196" w:type="pct"/>
            <w:tcMar>
              <w:left w:w="28" w:type="dxa"/>
              <w:right w:w="28" w:type="dxa"/>
            </w:tcMar>
          </w:tcPr>
          <w:p w14:paraId="0C70080A" w14:textId="77777777" w:rsidR="00BB0CAC" w:rsidRDefault="00BB0CAC" w:rsidP="000676D8">
            <w:pPr>
              <w:pStyle w:val="TableText"/>
              <w:jc w:val="center"/>
            </w:pPr>
          </w:p>
        </w:tc>
        <w:tc>
          <w:tcPr>
            <w:tcW w:w="294" w:type="pct"/>
            <w:tcMar>
              <w:left w:w="28" w:type="dxa"/>
              <w:right w:w="28" w:type="dxa"/>
            </w:tcMar>
          </w:tcPr>
          <w:p w14:paraId="40F113D7" w14:textId="77777777" w:rsidR="00BB0CAC" w:rsidRDefault="00BB0CAC" w:rsidP="000676D8">
            <w:pPr>
              <w:pStyle w:val="TableText"/>
              <w:jc w:val="center"/>
            </w:pPr>
            <w:r w:rsidRPr="00E07D02">
              <w:rPr>
                <w:rFonts w:ascii="Wingdings" w:hAnsi="Wingdings"/>
              </w:rPr>
              <w:t></w:t>
            </w:r>
          </w:p>
        </w:tc>
        <w:tc>
          <w:tcPr>
            <w:tcW w:w="197" w:type="pct"/>
            <w:tcMar>
              <w:left w:w="28" w:type="dxa"/>
              <w:right w:w="28" w:type="dxa"/>
            </w:tcMar>
          </w:tcPr>
          <w:p w14:paraId="7B92FF63" w14:textId="77777777" w:rsidR="00BB0CAC" w:rsidRDefault="00BB0CAC" w:rsidP="000676D8">
            <w:pPr>
              <w:pStyle w:val="TableText"/>
              <w:jc w:val="center"/>
            </w:pPr>
          </w:p>
        </w:tc>
        <w:tc>
          <w:tcPr>
            <w:tcW w:w="245" w:type="pct"/>
            <w:tcMar>
              <w:left w:w="28" w:type="dxa"/>
              <w:right w:w="28" w:type="dxa"/>
            </w:tcMar>
          </w:tcPr>
          <w:p w14:paraId="515C6277" w14:textId="77777777" w:rsidR="00BB0CAC" w:rsidRDefault="00BB0CAC" w:rsidP="000676D8">
            <w:pPr>
              <w:pStyle w:val="TableText"/>
              <w:jc w:val="center"/>
            </w:pPr>
          </w:p>
        </w:tc>
        <w:tc>
          <w:tcPr>
            <w:tcW w:w="246" w:type="pct"/>
            <w:tcMar>
              <w:left w:w="28" w:type="dxa"/>
              <w:right w:w="28" w:type="dxa"/>
            </w:tcMar>
          </w:tcPr>
          <w:p w14:paraId="603A3F7A" w14:textId="77777777" w:rsidR="00BB0CAC" w:rsidRDefault="00BB0CAC" w:rsidP="000676D8">
            <w:pPr>
              <w:pStyle w:val="TableText"/>
              <w:jc w:val="center"/>
            </w:pPr>
            <w:r w:rsidRPr="00E07D02">
              <w:rPr>
                <w:rFonts w:ascii="Wingdings" w:hAnsi="Wingdings"/>
              </w:rPr>
              <w:t></w:t>
            </w:r>
          </w:p>
        </w:tc>
        <w:tc>
          <w:tcPr>
            <w:tcW w:w="342" w:type="pct"/>
            <w:tcMar>
              <w:left w:w="28" w:type="dxa"/>
              <w:right w:w="28" w:type="dxa"/>
            </w:tcMar>
          </w:tcPr>
          <w:p w14:paraId="35A219C4" w14:textId="77777777" w:rsidR="00BB0CAC" w:rsidRDefault="00BB0CAC" w:rsidP="000676D8">
            <w:pPr>
              <w:pStyle w:val="TableText"/>
              <w:jc w:val="center"/>
            </w:pPr>
          </w:p>
        </w:tc>
      </w:tr>
      <w:tr w:rsidR="00BB0CAC" w:rsidRPr="00844BF8" w14:paraId="77CDD614" w14:textId="77777777" w:rsidTr="008C1748">
        <w:tc>
          <w:tcPr>
            <w:tcW w:w="883" w:type="pct"/>
          </w:tcPr>
          <w:p w14:paraId="2C149F00" w14:textId="77777777" w:rsidR="00BB0CAC" w:rsidRDefault="00BB0CAC" w:rsidP="000676D8">
            <w:pPr>
              <w:pStyle w:val="TableText"/>
            </w:pPr>
            <w:r w:rsidRPr="00825723">
              <w:t>Friendly societies: exempt income</w:t>
            </w:r>
          </w:p>
        </w:tc>
        <w:tc>
          <w:tcPr>
            <w:tcW w:w="567" w:type="pct"/>
          </w:tcPr>
          <w:p w14:paraId="2E24852A" w14:textId="77777777" w:rsidR="00BB0CAC" w:rsidRPr="00A96323" w:rsidRDefault="00BB0CAC" w:rsidP="000676D8">
            <w:pPr>
              <w:pStyle w:val="TableText"/>
              <w:rPr>
                <w:rFonts w:cs="Arial"/>
                <w:i/>
                <w:szCs w:val="22"/>
              </w:rPr>
            </w:pPr>
            <w:r w:rsidRPr="00A96323">
              <w:rPr>
                <w:rFonts w:cs="Arial"/>
                <w:i/>
                <w:szCs w:val="22"/>
              </w:rPr>
              <w:t>Section CW 44</w:t>
            </w:r>
          </w:p>
          <w:p w14:paraId="4A155EA5"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30DCB73C" w14:textId="77777777" w:rsidR="00BB0CAC" w:rsidRDefault="00BB0CAC" w:rsidP="000676D8">
            <w:pPr>
              <w:pStyle w:val="TableText"/>
              <w:rPr>
                <w:rFonts w:cs="Arial"/>
                <w:szCs w:val="16"/>
              </w:rPr>
            </w:pPr>
            <w:r w:rsidRPr="00CD766A">
              <w:rPr>
                <w:rFonts w:cs="Arial"/>
                <w:szCs w:val="16"/>
              </w:rPr>
              <w:t>Specified income derived by a friendly society is treated as exempt income.</w:t>
            </w:r>
          </w:p>
        </w:tc>
        <w:tc>
          <w:tcPr>
            <w:tcW w:w="1015" w:type="pct"/>
            <w:vAlign w:val="center"/>
          </w:tcPr>
          <w:p w14:paraId="1E6E43BA"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Mutuality principle that a person cannot derive income from mutual transactions as they are of a similar nature to trading with oneself.</w:t>
            </w:r>
          </w:p>
        </w:tc>
        <w:tc>
          <w:tcPr>
            <w:tcW w:w="196" w:type="pct"/>
            <w:tcMar>
              <w:left w:w="28" w:type="dxa"/>
              <w:right w:w="28" w:type="dxa"/>
            </w:tcMar>
          </w:tcPr>
          <w:p w14:paraId="072902A0" w14:textId="77777777" w:rsidR="00BB0CAC" w:rsidRDefault="00BB0CAC" w:rsidP="000676D8">
            <w:pPr>
              <w:pStyle w:val="TableText"/>
              <w:jc w:val="center"/>
            </w:pPr>
            <w:r w:rsidRPr="00E07D02">
              <w:rPr>
                <w:rFonts w:ascii="Wingdings" w:hAnsi="Wingdings"/>
              </w:rPr>
              <w:t></w:t>
            </w:r>
          </w:p>
        </w:tc>
        <w:tc>
          <w:tcPr>
            <w:tcW w:w="294" w:type="pct"/>
            <w:tcMar>
              <w:left w:w="28" w:type="dxa"/>
              <w:right w:w="28" w:type="dxa"/>
            </w:tcMar>
          </w:tcPr>
          <w:p w14:paraId="4B56759D" w14:textId="77777777" w:rsidR="00BB0CAC" w:rsidRDefault="00BB0CAC" w:rsidP="000676D8">
            <w:pPr>
              <w:pStyle w:val="TableText"/>
              <w:jc w:val="center"/>
            </w:pPr>
          </w:p>
        </w:tc>
        <w:tc>
          <w:tcPr>
            <w:tcW w:w="197" w:type="pct"/>
            <w:tcMar>
              <w:left w:w="28" w:type="dxa"/>
              <w:right w:w="28" w:type="dxa"/>
            </w:tcMar>
          </w:tcPr>
          <w:p w14:paraId="4EEAD86F" w14:textId="77777777" w:rsidR="00BB0CAC" w:rsidRDefault="00BB0CAC" w:rsidP="000676D8">
            <w:pPr>
              <w:pStyle w:val="TableText"/>
              <w:jc w:val="center"/>
            </w:pPr>
          </w:p>
        </w:tc>
        <w:tc>
          <w:tcPr>
            <w:tcW w:w="245" w:type="pct"/>
            <w:tcMar>
              <w:left w:w="28" w:type="dxa"/>
              <w:right w:w="28" w:type="dxa"/>
            </w:tcMar>
          </w:tcPr>
          <w:p w14:paraId="227DF058" w14:textId="77777777" w:rsidR="00BB0CAC" w:rsidRDefault="00BB0CAC" w:rsidP="000676D8">
            <w:pPr>
              <w:pStyle w:val="TableText"/>
              <w:jc w:val="center"/>
            </w:pPr>
          </w:p>
        </w:tc>
        <w:tc>
          <w:tcPr>
            <w:tcW w:w="246" w:type="pct"/>
            <w:tcMar>
              <w:left w:w="28" w:type="dxa"/>
              <w:right w:w="28" w:type="dxa"/>
            </w:tcMar>
          </w:tcPr>
          <w:p w14:paraId="547A2786" w14:textId="77777777" w:rsidR="00BB0CAC" w:rsidRDefault="00BB0CAC" w:rsidP="000676D8">
            <w:pPr>
              <w:pStyle w:val="TableText"/>
              <w:jc w:val="center"/>
            </w:pPr>
          </w:p>
        </w:tc>
        <w:tc>
          <w:tcPr>
            <w:tcW w:w="342" w:type="pct"/>
            <w:tcMar>
              <w:left w:w="28" w:type="dxa"/>
              <w:right w:w="28" w:type="dxa"/>
            </w:tcMar>
          </w:tcPr>
          <w:p w14:paraId="6D4B2B6D" w14:textId="77777777" w:rsidR="00BB0CAC" w:rsidRDefault="00BB0CAC" w:rsidP="000676D8">
            <w:pPr>
              <w:pStyle w:val="TableText"/>
              <w:jc w:val="center"/>
            </w:pPr>
            <w:r w:rsidRPr="00E07D02">
              <w:rPr>
                <w:rFonts w:ascii="Wingdings" w:hAnsi="Wingdings"/>
              </w:rPr>
              <w:t></w:t>
            </w:r>
          </w:p>
        </w:tc>
      </w:tr>
      <w:tr w:rsidR="00BB0CAC" w:rsidRPr="00844BF8" w14:paraId="49C749A8" w14:textId="77777777" w:rsidTr="008C1748">
        <w:tc>
          <w:tcPr>
            <w:tcW w:w="883" w:type="pct"/>
          </w:tcPr>
          <w:p w14:paraId="2E9AA33F" w14:textId="77777777" w:rsidR="00BB0CAC" w:rsidRDefault="00BB0CAC" w:rsidP="000676D8">
            <w:pPr>
              <w:pStyle w:val="TableText"/>
            </w:pPr>
            <w:r w:rsidRPr="00825723">
              <w:t>Fringe benefit tax</w:t>
            </w:r>
            <w:r>
              <w:t xml:space="preserve">: </w:t>
            </w:r>
            <w:r w:rsidRPr="00825723">
              <w:t>partial exclusion for charities</w:t>
            </w:r>
          </w:p>
        </w:tc>
        <w:tc>
          <w:tcPr>
            <w:tcW w:w="567" w:type="pct"/>
          </w:tcPr>
          <w:p w14:paraId="7D75639A" w14:textId="77777777" w:rsidR="00BB0CAC" w:rsidRPr="00A96323" w:rsidRDefault="00BB0CAC" w:rsidP="000676D8">
            <w:pPr>
              <w:pStyle w:val="TableText"/>
              <w:rPr>
                <w:rFonts w:cs="Arial"/>
                <w:i/>
                <w:szCs w:val="22"/>
              </w:rPr>
            </w:pPr>
            <w:r w:rsidRPr="00A96323">
              <w:rPr>
                <w:rFonts w:cs="Arial"/>
                <w:i/>
                <w:szCs w:val="22"/>
              </w:rPr>
              <w:t>Section CX 25</w:t>
            </w:r>
          </w:p>
          <w:p w14:paraId="1B7B023C"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591171DD" w14:textId="77777777" w:rsidR="00BB0CAC" w:rsidRDefault="00BB0CAC" w:rsidP="000676D8">
            <w:pPr>
              <w:pStyle w:val="TableText"/>
              <w:rPr>
                <w:szCs w:val="16"/>
              </w:rPr>
            </w:pPr>
            <w:r w:rsidRPr="00CD766A">
              <w:rPr>
                <w:szCs w:val="16"/>
              </w:rPr>
              <w:t>Generally fringe benefits provided to employees not involved in a charities</w:t>
            </w:r>
            <w:r>
              <w:rPr>
                <w:szCs w:val="16"/>
              </w:rPr>
              <w:t>’</w:t>
            </w:r>
            <w:r w:rsidRPr="00CD766A">
              <w:rPr>
                <w:szCs w:val="16"/>
              </w:rPr>
              <w:t xml:space="preserve"> business are exempt FBT.</w:t>
            </w:r>
          </w:p>
        </w:tc>
        <w:tc>
          <w:tcPr>
            <w:tcW w:w="1015" w:type="pct"/>
          </w:tcPr>
          <w:p w14:paraId="0D4A22B9" w14:textId="77777777" w:rsidR="00BB0CAC" w:rsidRPr="00C253BC" w:rsidRDefault="00BB0CAC" w:rsidP="000676D8">
            <w:pPr>
              <w:pStyle w:val="TableText"/>
              <w:rPr>
                <w:rFonts w:cs="Arial"/>
              </w:rPr>
            </w:pPr>
            <w:r>
              <w:rPr>
                <w:rFonts w:cs="Arial"/>
                <w:color w:val="000000"/>
              </w:rPr>
              <w:t>The</w:t>
            </w:r>
            <w:r w:rsidRPr="00C253BC">
              <w:rPr>
                <w:rFonts w:cs="Arial"/>
                <w:color w:val="000000"/>
              </w:rPr>
              <w:t xml:space="preserve"> </w:t>
            </w:r>
            <w:r>
              <w:rPr>
                <w:rFonts w:cs="Arial"/>
                <w:color w:val="000000"/>
              </w:rPr>
              <w:t>cost of complying with FBT obligations would be onerous and reduce the funds available for charitable purposes.</w:t>
            </w:r>
            <w:r w:rsidRPr="00C253BC">
              <w:rPr>
                <w:rFonts w:cs="Arial"/>
                <w:color w:val="000000"/>
              </w:rPr>
              <w:t xml:space="preserve"> </w:t>
            </w:r>
          </w:p>
        </w:tc>
        <w:tc>
          <w:tcPr>
            <w:tcW w:w="196" w:type="pct"/>
            <w:tcMar>
              <w:left w:w="28" w:type="dxa"/>
              <w:right w:w="28" w:type="dxa"/>
            </w:tcMar>
          </w:tcPr>
          <w:p w14:paraId="7022DB36" w14:textId="77777777" w:rsidR="00BB0CAC" w:rsidRDefault="00BB0CAC" w:rsidP="000676D8">
            <w:pPr>
              <w:pStyle w:val="TableText"/>
              <w:jc w:val="center"/>
            </w:pPr>
            <w:r w:rsidRPr="00E07D02">
              <w:rPr>
                <w:rFonts w:ascii="Wingdings" w:hAnsi="Wingdings"/>
              </w:rPr>
              <w:t></w:t>
            </w:r>
          </w:p>
        </w:tc>
        <w:tc>
          <w:tcPr>
            <w:tcW w:w="294" w:type="pct"/>
            <w:tcMar>
              <w:left w:w="28" w:type="dxa"/>
              <w:right w:w="28" w:type="dxa"/>
            </w:tcMar>
          </w:tcPr>
          <w:p w14:paraId="044095D1" w14:textId="77777777" w:rsidR="00BB0CAC" w:rsidRDefault="00BB0CAC" w:rsidP="000676D8">
            <w:pPr>
              <w:pStyle w:val="TableText"/>
              <w:jc w:val="center"/>
            </w:pPr>
          </w:p>
        </w:tc>
        <w:tc>
          <w:tcPr>
            <w:tcW w:w="197" w:type="pct"/>
            <w:tcMar>
              <w:left w:w="28" w:type="dxa"/>
              <w:right w:w="28" w:type="dxa"/>
            </w:tcMar>
          </w:tcPr>
          <w:p w14:paraId="3CC01552" w14:textId="77777777" w:rsidR="00BB0CAC" w:rsidRDefault="00BB0CAC" w:rsidP="000676D8">
            <w:pPr>
              <w:pStyle w:val="TableText"/>
              <w:jc w:val="center"/>
            </w:pPr>
          </w:p>
        </w:tc>
        <w:tc>
          <w:tcPr>
            <w:tcW w:w="245" w:type="pct"/>
            <w:tcMar>
              <w:left w:w="28" w:type="dxa"/>
              <w:right w:w="28" w:type="dxa"/>
            </w:tcMar>
          </w:tcPr>
          <w:p w14:paraId="2FFEAC94" w14:textId="77777777" w:rsidR="00BB0CAC" w:rsidRDefault="00BB0CAC" w:rsidP="000676D8">
            <w:pPr>
              <w:pStyle w:val="TableText"/>
              <w:jc w:val="center"/>
            </w:pPr>
          </w:p>
        </w:tc>
        <w:tc>
          <w:tcPr>
            <w:tcW w:w="246" w:type="pct"/>
            <w:tcMar>
              <w:left w:w="28" w:type="dxa"/>
              <w:right w:w="28" w:type="dxa"/>
            </w:tcMar>
          </w:tcPr>
          <w:p w14:paraId="582F6FAC" w14:textId="77777777" w:rsidR="00BB0CAC" w:rsidRDefault="00BB0CAC" w:rsidP="000676D8">
            <w:pPr>
              <w:pStyle w:val="TableText"/>
              <w:jc w:val="center"/>
            </w:pPr>
          </w:p>
        </w:tc>
        <w:tc>
          <w:tcPr>
            <w:tcW w:w="342" w:type="pct"/>
            <w:tcMar>
              <w:left w:w="28" w:type="dxa"/>
              <w:right w:w="28" w:type="dxa"/>
            </w:tcMar>
          </w:tcPr>
          <w:p w14:paraId="2EDC0562" w14:textId="77777777" w:rsidR="00BB0CAC" w:rsidRDefault="00BB0CAC" w:rsidP="000676D8">
            <w:pPr>
              <w:pStyle w:val="TableText"/>
              <w:jc w:val="center"/>
            </w:pPr>
            <w:r w:rsidRPr="00E07D02">
              <w:rPr>
                <w:rFonts w:ascii="Wingdings" w:hAnsi="Wingdings"/>
              </w:rPr>
              <w:t></w:t>
            </w:r>
          </w:p>
        </w:tc>
      </w:tr>
      <w:tr w:rsidR="00BB0CAC" w:rsidRPr="00844BF8" w14:paraId="0245673E" w14:textId="77777777" w:rsidTr="008C1748">
        <w:tc>
          <w:tcPr>
            <w:tcW w:w="883" w:type="pct"/>
          </w:tcPr>
          <w:p w14:paraId="7D618FB0" w14:textId="77777777" w:rsidR="00BB0CAC" w:rsidRDefault="00BB0CAC" w:rsidP="000676D8">
            <w:pPr>
              <w:pStyle w:val="TableText"/>
            </w:pPr>
            <w:r w:rsidRPr="00825723">
              <w:t>Funeral Trusts: exempt income</w:t>
            </w:r>
          </w:p>
        </w:tc>
        <w:tc>
          <w:tcPr>
            <w:tcW w:w="567" w:type="pct"/>
          </w:tcPr>
          <w:p w14:paraId="22D25517" w14:textId="77777777" w:rsidR="00BB0CAC" w:rsidRPr="00A96323" w:rsidRDefault="00BB0CAC" w:rsidP="000676D8">
            <w:pPr>
              <w:pStyle w:val="TableText"/>
              <w:rPr>
                <w:rFonts w:cs="Arial"/>
                <w:i/>
                <w:szCs w:val="22"/>
              </w:rPr>
            </w:pPr>
            <w:r w:rsidRPr="00A96323">
              <w:rPr>
                <w:rFonts w:cs="Arial"/>
                <w:i/>
                <w:szCs w:val="22"/>
              </w:rPr>
              <w:t>Section CW 45</w:t>
            </w:r>
          </w:p>
          <w:p w14:paraId="7A171A76"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635F092A" w14:textId="77777777" w:rsidR="00BB0CAC" w:rsidRDefault="00BB0CAC" w:rsidP="000676D8">
            <w:pPr>
              <w:pStyle w:val="TableText"/>
              <w:rPr>
                <w:rFonts w:cs="Arial"/>
                <w:szCs w:val="16"/>
              </w:rPr>
            </w:pPr>
            <w:r w:rsidRPr="00CD766A">
              <w:rPr>
                <w:rFonts w:cs="Arial"/>
                <w:szCs w:val="16"/>
              </w:rPr>
              <w:t>Interest or a dividend derived by a trustee in a funeral trust is exempt income.</w:t>
            </w:r>
          </w:p>
        </w:tc>
        <w:tc>
          <w:tcPr>
            <w:tcW w:w="1015" w:type="pct"/>
          </w:tcPr>
          <w:p w14:paraId="4FEF8A77"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To reduce compliance costs for </w:t>
            </w:r>
            <w:r>
              <w:rPr>
                <w:rFonts w:cs="Arial"/>
                <w:color w:val="000000"/>
                <w:szCs w:val="16"/>
                <w:lang w:eastAsia="en-NZ"/>
              </w:rPr>
              <w:t xml:space="preserve">Sickness, Accident and Death </w:t>
            </w:r>
            <w:r w:rsidRPr="00C253BC">
              <w:rPr>
                <w:rFonts w:cs="Arial"/>
                <w:color w:val="000000"/>
                <w:szCs w:val="16"/>
                <w:lang w:eastAsia="en-NZ"/>
              </w:rPr>
              <w:t xml:space="preserve">funds that would need to restructure to be recognised as friendly societies. </w:t>
            </w:r>
          </w:p>
        </w:tc>
        <w:tc>
          <w:tcPr>
            <w:tcW w:w="196" w:type="pct"/>
            <w:tcMar>
              <w:left w:w="28" w:type="dxa"/>
              <w:right w:w="28" w:type="dxa"/>
            </w:tcMar>
          </w:tcPr>
          <w:p w14:paraId="339FDAE3" w14:textId="77777777" w:rsidR="00BB0CAC" w:rsidRDefault="00BB0CAC" w:rsidP="000676D8">
            <w:pPr>
              <w:pStyle w:val="TableText"/>
              <w:jc w:val="center"/>
            </w:pPr>
            <w:r w:rsidRPr="00E07D02">
              <w:rPr>
                <w:rFonts w:ascii="Wingdings" w:hAnsi="Wingdings"/>
              </w:rPr>
              <w:t></w:t>
            </w:r>
          </w:p>
        </w:tc>
        <w:tc>
          <w:tcPr>
            <w:tcW w:w="294" w:type="pct"/>
            <w:tcMar>
              <w:left w:w="28" w:type="dxa"/>
              <w:right w:w="28" w:type="dxa"/>
            </w:tcMar>
          </w:tcPr>
          <w:p w14:paraId="169D0046" w14:textId="77777777" w:rsidR="00BB0CAC" w:rsidRDefault="00BB0CAC" w:rsidP="000676D8">
            <w:pPr>
              <w:pStyle w:val="TableText"/>
              <w:jc w:val="center"/>
            </w:pPr>
          </w:p>
        </w:tc>
        <w:tc>
          <w:tcPr>
            <w:tcW w:w="197" w:type="pct"/>
            <w:tcMar>
              <w:left w:w="28" w:type="dxa"/>
              <w:right w:w="28" w:type="dxa"/>
            </w:tcMar>
          </w:tcPr>
          <w:p w14:paraId="20202DB0" w14:textId="77777777" w:rsidR="00BB0CAC" w:rsidRDefault="00BB0CAC" w:rsidP="000676D8">
            <w:pPr>
              <w:pStyle w:val="TableText"/>
              <w:jc w:val="center"/>
            </w:pPr>
          </w:p>
        </w:tc>
        <w:tc>
          <w:tcPr>
            <w:tcW w:w="245" w:type="pct"/>
            <w:tcMar>
              <w:left w:w="28" w:type="dxa"/>
              <w:right w:w="28" w:type="dxa"/>
            </w:tcMar>
          </w:tcPr>
          <w:p w14:paraId="0D856B84" w14:textId="77777777" w:rsidR="00BB0CAC" w:rsidRDefault="00BB0CAC" w:rsidP="000676D8">
            <w:pPr>
              <w:pStyle w:val="TableText"/>
              <w:jc w:val="center"/>
            </w:pPr>
          </w:p>
        </w:tc>
        <w:tc>
          <w:tcPr>
            <w:tcW w:w="246" w:type="pct"/>
            <w:tcMar>
              <w:left w:w="28" w:type="dxa"/>
              <w:right w:w="28" w:type="dxa"/>
            </w:tcMar>
          </w:tcPr>
          <w:p w14:paraId="527A71BB" w14:textId="77777777" w:rsidR="00BB0CAC" w:rsidRDefault="00BB0CAC" w:rsidP="000676D8">
            <w:pPr>
              <w:pStyle w:val="TableText"/>
              <w:jc w:val="center"/>
            </w:pPr>
          </w:p>
        </w:tc>
        <w:tc>
          <w:tcPr>
            <w:tcW w:w="342" w:type="pct"/>
            <w:tcMar>
              <w:left w:w="28" w:type="dxa"/>
              <w:right w:w="28" w:type="dxa"/>
            </w:tcMar>
          </w:tcPr>
          <w:p w14:paraId="3E69F76A" w14:textId="77777777" w:rsidR="00BB0CAC" w:rsidRDefault="00BB0CAC" w:rsidP="000676D8">
            <w:pPr>
              <w:pStyle w:val="TableText"/>
              <w:jc w:val="center"/>
            </w:pPr>
            <w:r w:rsidRPr="00E07D02">
              <w:rPr>
                <w:rFonts w:ascii="Wingdings" w:hAnsi="Wingdings"/>
              </w:rPr>
              <w:t></w:t>
            </w:r>
          </w:p>
        </w:tc>
      </w:tr>
      <w:tr w:rsidR="00BB0CAC" w:rsidRPr="00844BF8" w14:paraId="5763BE71" w14:textId="77777777" w:rsidTr="008C1748">
        <w:tc>
          <w:tcPr>
            <w:tcW w:w="883" w:type="pct"/>
          </w:tcPr>
          <w:p w14:paraId="3B965ECF" w14:textId="77777777" w:rsidR="00BB0CAC" w:rsidRDefault="00BB0CAC" w:rsidP="000676D8">
            <w:pPr>
              <w:pStyle w:val="TableText"/>
            </w:pPr>
            <w:r w:rsidRPr="00825723">
              <w:t>Herd improvement bodies: exempt income</w:t>
            </w:r>
          </w:p>
        </w:tc>
        <w:tc>
          <w:tcPr>
            <w:tcW w:w="567" w:type="pct"/>
          </w:tcPr>
          <w:p w14:paraId="12C00844" w14:textId="77777777" w:rsidR="00BB0CAC" w:rsidRPr="00A96323" w:rsidRDefault="00BB0CAC" w:rsidP="000676D8">
            <w:pPr>
              <w:pStyle w:val="TableText"/>
              <w:rPr>
                <w:rFonts w:cs="Arial"/>
                <w:i/>
                <w:szCs w:val="22"/>
              </w:rPr>
            </w:pPr>
            <w:r w:rsidRPr="00A96323">
              <w:rPr>
                <w:rFonts w:cs="Arial"/>
                <w:i/>
                <w:szCs w:val="22"/>
              </w:rPr>
              <w:t>Section CW 51</w:t>
            </w:r>
          </w:p>
          <w:p w14:paraId="6C09D3BF"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500D2552" w14:textId="77777777" w:rsidR="00BB0CAC" w:rsidRDefault="00BB0CAC" w:rsidP="000676D8">
            <w:pPr>
              <w:pStyle w:val="TableText"/>
              <w:rPr>
                <w:rFonts w:cs="Arial"/>
                <w:szCs w:val="16"/>
              </w:rPr>
            </w:pPr>
            <w:r w:rsidRPr="00CD766A">
              <w:rPr>
                <w:rFonts w:cs="Arial"/>
                <w:szCs w:val="16"/>
              </w:rPr>
              <w:t xml:space="preserve">Income derived by a herd improvement association, or society established mainly to promote an improvement in New Zealand dairy cattle, is exempt income, providing no funds are used for private </w:t>
            </w:r>
            <w:r w:rsidRPr="007D63D0">
              <w:rPr>
                <w:rFonts w:cs="Arial"/>
                <w:szCs w:val="16"/>
              </w:rPr>
              <w:t>pecuniary</w:t>
            </w:r>
            <w:r w:rsidRPr="00CD766A">
              <w:rPr>
                <w:rFonts w:cs="Arial"/>
                <w:szCs w:val="16"/>
              </w:rPr>
              <w:t xml:space="preserve"> profit.</w:t>
            </w:r>
          </w:p>
        </w:tc>
        <w:tc>
          <w:tcPr>
            <w:tcW w:w="1015" w:type="pct"/>
          </w:tcPr>
          <w:p w14:paraId="235D9A06"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Herd improvement bodies considered of national significance at the time.</w:t>
            </w:r>
          </w:p>
        </w:tc>
        <w:tc>
          <w:tcPr>
            <w:tcW w:w="196" w:type="pct"/>
            <w:tcMar>
              <w:left w:w="28" w:type="dxa"/>
              <w:right w:w="28" w:type="dxa"/>
            </w:tcMar>
          </w:tcPr>
          <w:p w14:paraId="58EAACD9" w14:textId="77777777" w:rsidR="00BB0CAC" w:rsidRDefault="00BB0CAC" w:rsidP="000676D8">
            <w:pPr>
              <w:pStyle w:val="TableText"/>
              <w:jc w:val="center"/>
            </w:pPr>
          </w:p>
        </w:tc>
        <w:tc>
          <w:tcPr>
            <w:tcW w:w="294" w:type="pct"/>
            <w:tcMar>
              <w:left w:w="28" w:type="dxa"/>
              <w:right w:w="28" w:type="dxa"/>
            </w:tcMar>
          </w:tcPr>
          <w:p w14:paraId="3DF5E46A" w14:textId="77777777" w:rsidR="00BB0CAC" w:rsidRDefault="00BB0CAC" w:rsidP="000676D8">
            <w:pPr>
              <w:pStyle w:val="TableText"/>
              <w:jc w:val="center"/>
            </w:pPr>
            <w:r w:rsidRPr="00E07D02">
              <w:rPr>
                <w:rFonts w:ascii="Wingdings" w:hAnsi="Wingdings"/>
              </w:rPr>
              <w:t></w:t>
            </w:r>
          </w:p>
        </w:tc>
        <w:tc>
          <w:tcPr>
            <w:tcW w:w="197" w:type="pct"/>
            <w:tcMar>
              <w:left w:w="28" w:type="dxa"/>
              <w:right w:w="28" w:type="dxa"/>
            </w:tcMar>
          </w:tcPr>
          <w:p w14:paraId="1D487959" w14:textId="77777777" w:rsidR="00BB0CAC" w:rsidRDefault="00BB0CAC" w:rsidP="000676D8">
            <w:pPr>
              <w:pStyle w:val="TableText"/>
              <w:jc w:val="center"/>
            </w:pPr>
          </w:p>
        </w:tc>
        <w:tc>
          <w:tcPr>
            <w:tcW w:w="245" w:type="pct"/>
            <w:tcMar>
              <w:left w:w="28" w:type="dxa"/>
              <w:right w:w="28" w:type="dxa"/>
            </w:tcMar>
          </w:tcPr>
          <w:p w14:paraId="0063FFB6" w14:textId="77777777" w:rsidR="00BB0CAC" w:rsidRDefault="00BB0CAC" w:rsidP="000676D8">
            <w:pPr>
              <w:pStyle w:val="TableText"/>
              <w:jc w:val="center"/>
            </w:pPr>
          </w:p>
        </w:tc>
        <w:tc>
          <w:tcPr>
            <w:tcW w:w="246" w:type="pct"/>
            <w:tcMar>
              <w:left w:w="28" w:type="dxa"/>
              <w:right w:w="28" w:type="dxa"/>
            </w:tcMar>
          </w:tcPr>
          <w:p w14:paraId="17559B52" w14:textId="77777777" w:rsidR="00BB0CAC" w:rsidRDefault="00BB0CAC" w:rsidP="000676D8">
            <w:pPr>
              <w:pStyle w:val="TableText"/>
              <w:jc w:val="center"/>
            </w:pPr>
          </w:p>
        </w:tc>
        <w:tc>
          <w:tcPr>
            <w:tcW w:w="342" w:type="pct"/>
            <w:tcMar>
              <w:left w:w="28" w:type="dxa"/>
              <w:right w:w="28" w:type="dxa"/>
            </w:tcMar>
          </w:tcPr>
          <w:p w14:paraId="4A346717" w14:textId="77777777" w:rsidR="00BB0CAC" w:rsidRDefault="00BB0CAC" w:rsidP="000676D8">
            <w:pPr>
              <w:pStyle w:val="TableText"/>
              <w:jc w:val="center"/>
            </w:pPr>
            <w:r w:rsidRPr="00E07D02">
              <w:rPr>
                <w:rFonts w:ascii="Wingdings" w:hAnsi="Wingdings"/>
              </w:rPr>
              <w:t></w:t>
            </w:r>
          </w:p>
        </w:tc>
      </w:tr>
      <w:tr w:rsidR="00BB0CAC" w:rsidRPr="00844BF8" w14:paraId="4AFDEBEB" w14:textId="77777777" w:rsidTr="008C1748">
        <w:tc>
          <w:tcPr>
            <w:tcW w:w="883" w:type="pct"/>
          </w:tcPr>
          <w:p w14:paraId="288DE658" w14:textId="77777777" w:rsidR="00BB0CAC" w:rsidRPr="00825723" w:rsidRDefault="00BB0CAC" w:rsidP="000676D8">
            <w:pPr>
              <w:pStyle w:val="TableText"/>
              <w:pageBreakBefore/>
            </w:pPr>
            <w:r w:rsidRPr="00825723">
              <w:lastRenderedPageBreak/>
              <w:br w:type="page"/>
              <w:t>Income equalisation schemes</w:t>
            </w:r>
            <w:r>
              <w:t>: deduction</w:t>
            </w:r>
          </w:p>
        </w:tc>
        <w:tc>
          <w:tcPr>
            <w:tcW w:w="567" w:type="pct"/>
          </w:tcPr>
          <w:p w14:paraId="66CA8A05" w14:textId="77777777" w:rsidR="00BB0CAC" w:rsidRPr="00A96323" w:rsidRDefault="00BB0CAC" w:rsidP="000676D8">
            <w:pPr>
              <w:pStyle w:val="TableText"/>
              <w:rPr>
                <w:rFonts w:cs="Arial"/>
                <w:i/>
                <w:szCs w:val="22"/>
              </w:rPr>
            </w:pPr>
            <w:r w:rsidRPr="00A96323">
              <w:rPr>
                <w:rFonts w:cs="Arial"/>
                <w:i/>
                <w:szCs w:val="22"/>
              </w:rPr>
              <w:t>Subpart EH</w:t>
            </w:r>
          </w:p>
          <w:p w14:paraId="031DC9AC" w14:textId="77777777" w:rsidR="00BB0CAC" w:rsidRPr="00A96323" w:rsidRDefault="00BB0CAC" w:rsidP="000676D8">
            <w:pPr>
              <w:pStyle w:val="TableText"/>
              <w:rPr>
                <w:i/>
              </w:rPr>
            </w:pPr>
            <w:r w:rsidRPr="00A96323">
              <w:rPr>
                <w:rFonts w:cs="Arial"/>
                <w:i/>
                <w:szCs w:val="22"/>
              </w:rPr>
              <w:t>-Deduction</w:t>
            </w:r>
          </w:p>
        </w:tc>
        <w:tc>
          <w:tcPr>
            <w:tcW w:w="1015" w:type="pct"/>
          </w:tcPr>
          <w:p w14:paraId="28CE7585" w14:textId="77777777" w:rsidR="00BB0CAC" w:rsidRPr="0045292D" w:rsidRDefault="00BB0CAC" w:rsidP="000676D8">
            <w:pPr>
              <w:pStyle w:val="TableText"/>
              <w:rPr>
                <w:iCs/>
              </w:rPr>
            </w:pPr>
            <w:r w:rsidRPr="0045292D">
              <w:t xml:space="preserve">Persons working in forestry, fishing, or farming entities may reduce their taxable income in a year by depositing taxable income with Inland Revenue. The schemes allow taxable income to be transferred between years thereby smoothing taxable income. </w:t>
            </w:r>
          </w:p>
        </w:tc>
        <w:tc>
          <w:tcPr>
            <w:tcW w:w="1015" w:type="pct"/>
          </w:tcPr>
          <w:p w14:paraId="137F4557" w14:textId="77777777" w:rsidR="00BB0CAC" w:rsidRPr="00C253BC" w:rsidRDefault="00BB0CAC" w:rsidP="000676D8">
            <w:pPr>
              <w:pStyle w:val="TableText"/>
              <w:rPr>
                <w:rFonts w:cs="Arial"/>
              </w:rPr>
            </w:pPr>
            <w:r>
              <w:rPr>
                <w:rFonts w:cs="Arial"/>
                <w:color w:val="000000"/>
              </w:rPr>
              <w:t>To facilitate</w:t>
            </w:r>
            <w:r w:rsidRPr="00C253BC">
              <w:rPr>
                <w:rFonts w:cs="Arial"/>
                <w:color w:val="000000"/>
              </w:rPr>
              <w:t xml:space="preserve"> income smoothing. </w:t>
            </w:r>
          </w:p>
        </w:tc>
        <w:tc>
          <w:tcPr>
            <w:tcW w:w="196" w:type="pct"/>
            <w:tcMar>
              <w:left w:w="28" w:type="dxa"/>
              <w:right w:w="28" w:type="dxa"/>
            </w:tcMar>
          </w:tcPr>
          <w:p w14:paraId="1493D2CE" w14:textId="77777777" w:rsidR="00BB0CAC" w:rsidRPr="00825723" w:rsidRDefault="00BB0CAC" w:rsidP="000676D8">
            <w:pPr>
              <w:pStyle w:val="TableText"/>
              <w:jc w:val="center"/>
            </w:pPr>
          </w:p>
        </w:tc>
        <w:tc>
          <w:tcPr>
            <w:tcW w:w="294" w:type="pct"/>
            <w:tcMar>
              <w:left w:w="28" w:type="dxa"/>
              <w:right w:w="28" w:type="dxa"/>
            </w:tcMar>
          </w:tcPr>
          <w:p w14:paraId="060AE528" w14:textId="77777777" w:rsidR="00BB0CAC" w:rsidRPr="00825723" w:rsidRDefault="00BB0CAC" w:rsidP="000676D8">
            <w:pPr>
              <w:pStyle w:val="TableText"/>
              <w:jc w:val="center"/>
            </w:pPr>
            <w:r w:rsidRPr="00E07D02">
              <w:rPr>
                <w:rFonts w:ascii="Wingdings" w:hAnsi="Wingdings"/>
              </w:rPr>
              <w:t></w:t>
            </w:r>
          </w:p>
        </w:tc>
        <w:tc>
          <w:tcPr>
            <w:tcW w:w="197" w:type="pct"/>
            <w:tcMar>
              <w:left w:w="28" w:type="dxa"/>
              <w:right w:w="28" w:type="dxa"/>
            </w:tcMar>
          </w:tcPr>
          <w:p w14:paraId="6B05EB79" w14:textId="77777777" w:rsidR="00BB0CAC" w:rsidRPr="00825723" w:rsidRDefault="00BB0CAC" w:rsidP="000676D8">
            <w:pPr>
              <w:pStyle w:val="TableText"/>
              <w:jc w:val="center"/>
            </w:pPr>
          </w:p>
        </w:tc>
        <w:tc>
          <w:tcPr>
            <w:tcW w:w="245" w:type="pct"/>
            <w:tcMar>
              <w:left w:w="28" w:type="dxa"/>
              <w:right w:w="28" w:type="dxa"/>
            </w:tcMar>
          </w:tcPr>
          <w:p w14:paraId="5D2766C8" w14:textId="77777777" w:rsidR="00BB0CAC" w:rsidRPr="00825723" w:rsidRDefault="00BB0CAC" w:rsidP="000676D8">
            <w:pPr>
              <w:pStyle w:val="TableText"/>
              <w:jc w:val="center"/>
            </w:pPr>
          </w:p>
        </w:tc>
        <w:tc>
          <w:tcPr>
            <w:tcW w:w="246" w:type="pct"/>
            <w:tcMar>
              <w:left w:w="28" w:type="dxa"/>
              <w:right w:w="28" w:type="dxa"/>
            </w:tcMar>
          </w:tcPr>
          <w:p w14:paraId="4B9F012A" w14:textId="77777777" w:rsidR="00BB0CAC" w:rsidRPr="00825723" w:rsidRDefault="00BB0CAC" w:rsidP="000676D8">
            <w:pPr>
              <w:pStyle w:val="TableText"/>
              <w:jc w:val="center"/>
            </w:pPr>
            <w:r w:rsidRPr="00E07D02">
              <w:rPr>
                <w:rFonts w:ascii="Wingdings" w:hAnsi="Wingdings"/>
              </w:rPr>
              <w:t></w:t>
            </w:r>
          </w:p>
        </w:tc>
        <w:tc>
          <w:tcPr>
            <w:tcW w:w="342" w:type="pct"/>
            <w:tcMar>
              <w:left w:w="28" w:type="dxa"/>
              <w:right w:w="28" w:type="dxa"/>
            </w:tcMar>
          </w:tcPr>
          <w:p w14:paraId="2DFC816D" w14:textId="77777777" w:rsidR="00BB0CAC" w:rsidRPr="00825723" w:rsidRDefault="00BB0CAC" w:rsidP="000676D8">
            <w:pPr>
              <w:pStyle w:val="TableText"/>
              <w:jc w:val="center"/>
            </w:pPr>
          </w:p>
        </w:tc>
      </w:tr>
      <w:tr w:rsidR="00BB0CAC" w:rsidRPr="00844BF8" w14:paraId="1992BCA9" w14:textId="77777777" w:rsidTr="008C1748">
        <w:tc>
          <w:tcPr>
            <w:tcW w:w="883" w:type="pct"/>
          </w:tcPr>
          <w:p w14:paraId="0A506E7E" w14:textId="77777777" w:rsidR="00BB0CAC" w:rsidRPr="00825723" w:rsidRDefault="00BB0CAC" w:rsidP="000676D8">
            <w:pPr>
              <w:pStyle w:val="TableText"/>
            </w:pPr>
            <w:r w:rsidRPr="00825723">
              <w:t>Income for military or police service in operational area: exempt income</w:t>
            </w:r>
          </w:p>
        </w:tc>
        <w:tc>
          <w:tcPr>
            <w:tcW w:w="567" w:type="pct"/>
          </w:tcPr>
          <w:p w14:paraId="4AAB7C43" w14:textId="77777777" w:rsidR="00BB0CAC" w:rsidRPr="00A96323" w:rsidRDefault="00BB0CAC" w:rsidP="000676D8">
            <w:pPr>
              <w:pStyle w:val="TableText"/>
              <w:rPr>
                <w:rFonts w:cs="Arial"/>
                <w:i/>
                <w:szCs w:val="22"/>
              </w:rPr>
            </w:pPr>
            <w:r w:rsidRPr="00A96323">
              <w:rPr>
                <w:rFonts w:cs="Arial"/>
                <w:i/>
                <w:szCs w:val="22"/>
              </w:rPr>
              <w:t>Sections CW 23-24</w:t>
            </w:r>
          </w:p>
          <w:p w14:paraId="2FCB01CA" w14:textId="77777777" w:rsidR="00BB0CAC" w:rsidRPr="00A96323" w:rsidRDefault="00BB0CAC" w:rsidP="000676D8">
            <w:pPr>
              <w:pStyle w:val="TableText"/>
              <w:rPr>
                <w:i/>
              </w:rPr>
            </w:pPr>
            <w:r w:rsidRPr="00A96323">
              <w:rPr>
                <w:rFonts w:cs="Arial"/>
                <w:i/>
                <w:szCs w:val="22"/>
              </w:rPr>
              <w:t>-Exemption</w:t>
            </w:r>
          </w:p>
        </w:tc>
        <w:tc>
          <w:tcPr>
            <w:tcW w:w="1015" w:type="pct"/>
          </w:tcPr>
          <w:p w14:paraId="1A1067FE" w14:textId="77777777" w:rsidR="00BB0CAC" w:rsidRDefault="00BB0CAC" w:rsidP="000676D8">
            <w:pPr>
              <w:pStyle w:val="TableText"/>
              <w:rPr>
                <w:rFonts w:cs="Arial"/>
                <w:szCs w:val="16"/>
              </w:rPr>
            </w:pPr>
            <w:r w:rsidRPr="00CD766A">
              <w:rPr>
                <w:rFonts w:cs="Arial"/>
                <w:szCs w:val="16"/>
              </w:rPr>
              <w:t>Specified income derived by members of the New Zealand Defence Force (or the police) serving in an operational area can be treated as exempt income.</w:t>
            </w:r>
          </w:p>
        </w:tc>
        <w:tc>
          <w:tcPr>
            <w:tcW w:w="1015" w:type="pct"/>
          </w:tcPr>
          <w:p w14:paraId="02724B4D" w14:textId="77777777" w:rsidR="00BB0CAC" w:rsidRPr="00C253BC" w:rsidRDefault="00BB0CAC" w:rsidP="000676D8">
            <w:pPr>
              <w:pStyle w:val="TableText"/>
              <w:rPr>
                <w:rFonts w:cs="Arial"/>
              </w:rPr>
            </w:pPr>
            <w:r>
              <w:rPr>
                <w:rFonts w:cs="Arial"/>
                <w:color w:val="000000"/>
              </w:rPr>
              <w:t xml:space="preserve">To increase equity and reduce the administrative burden across the New Zealand Defence Force and the Police. </w:t>
            </w:r>
          </w:p>
        </w:tc>
        <w:tc>
          <w:tcPr>
            <w:tcW w:w="196" w:type="pct"/>
            <w:tcMar>
              <w:left w:w="28" w:type="dxa"/>
              <w:right w:w="28" w:type="dxa"/>
            </w:tcMar>
          </w:tcPr>
          <w:p w14:paraId="75BF7C25" w14:textId="77777777" w:rsidR="00BB0CAC" w:rsidRPr="00825723" w:rsidRDefault="00BB0CAC" w:rsidP="000676D8">
            <w:pPr>
              <w:pStyle w:val="TableText"/>
              <w:jc w:val="center"/>
            </w:pPr>
          </w:p>
        </w:tc>
        <w:tc>
          <w:tcPr>
            <w:tcW w:w="294" w:type="pct"/>
            <w:tcMar>
              <w:left w:w="28" w:type="dxa"/>
              <w:right w:w="28" w:type="dxa"/>
            </w:tcMar>
          </w:tcPr>
          <w:p w14:paraId="4E0A99F8" w14:textId="77777777" w:rsidR="00BB0CAC" w:rsidRPr="00825723" w:rsidRDefault="00BB0CAC" w:rsidP="000676D8">
            <w:pPr>
              <w:pStyle w:val="TableText"/>
              <w:jc w:val="center"/>
            </w:pPr>
          </w:p>
        </w:tc>
        <w:tc>
          <w:tcPr>
            <w:tcW w:w="197" w:type="pct"/>
            <w:tcMar>
              <w:left w:w="28" w:type="dxa"/>
              <w:right w:w="28" w:type="dxa"/>
            </w:tcMar>
          </w:tcPr>
          <w:p w14:paraId="07C199B0" w14:textId="77777777" w:rsidR="00BB0CAC" w:rsidRPr="00825723" w:rsidRDefault="00BB0CAC" w:rsidP="000676D8">
            <w:pPr>
              <w:pStyle w:val="TableText"/>
              <w:jc w:val="center"/>
            </w:pPr>
            <w:r w:rsidRPr="00E07D02">
              <w:rPr>
                <w:rFonts w:ascii="Wingdings" w:hAnsi="Wingdings"/>
              </w:rPr>
              <w:t></w:t>
            </w:r>
          </w:p>
        </w:tc>
        <w:tc>
          <w:tcPr>
            <w:tcW w:w="245" w:type="pct"/>
            <w:tcMar>
              <w:left w:w="28" w:type="dxa"/>
              <w:right w:w="28" w:type="dxa"/>
            </w:tcMar>
          </w:tcPr>
          <w:p w14:paraId="29319934" w14:textId="77777777" w:rsidR="00BB0CAC" w:rsidRPr="00825723" w:rsidRDefault="00BB0CAC" w:rsidP="000676D8">
            <w:pPr>
              <w:pStyle w:val="TableText"/>
              <w:jc w:val="center"/>
            </w:pPr>
          </w:p>
        </w:tc>
        <w:tc>
          <w:tcPr>
            <w:tcW w:w="246" w:type="pct"/>
            <w:tcMar>
              <w:left w:w="28" w:type="dxa"/>
              <w:right w:w="28" w:type="dxa"/>
            </w:tcMar>
          </w:tcPr>
          <w:p w14:paraId="6ECF366E" w14:textId="77777777" w:rsidR="00BB0CAC" w:rsidRPr="00825723" w:rsidRDefault="00BB0CAC" w:rsidP="000676D8">
            <w:pPr>
              <w:pStyle w:val="TableText"/>
              <w:jc w:val="center"/>
            </w:pPr>
          </w:p>
        </w:tc>
        <w:tc>
          <w:tcPr>
            <w:tcW w:w="342" w:type="pct"/>
            <w:tcMar>
              <w:left w:w="28" w:type="dxa"/>
              <w:right w:w="28" w:type="dxa"/>
            </w:tcMar>
          </w:tcPr>
          <w:p w14:paraId="1E68124C" w14:textId="77777777" w:rsidR="00BB0CAC" w:rsidRPr="00825723" w:rsidRDefault="00BB0CAC" w:rsidP="000676D8">
            <w:pPr>
              <w:pStyle w:val="TableText"/>
              <w:jc w:val="center"/>
            </w:pPr>
            <w:r w:rsidRPr="00E07D02">
              <w:rPr>
                <w:rFonts w:ascii="Wingdings" w:hAnsi="Wingdings"/>
              </w:rPr>
              <w:t></w:t>
            </w:r>
          </w:p>
        </w:tc>
      </w:tr>
      <w:tr w:rsidR="00BB0CAC" w:rsidRPr="00844BF8" w14:paraId="191B284D" w14:textId="77777777" w:rsidTr="008C1748">
        <w:tc>
          <w:tcPr>
            <w:tcW w:w="883" w:type="pct"/>
          </w:tcPr>
          <w:p w14:paraId="2D5C6B13" w14:textId="77777777" w:rsidR="00BB0CAC" w:rsidRPr="00EA0576" w:rsidRDefault="00BB0CAC" w:rsidP="000676D8">
            <w:pPr>
              <w:pStyle w:val="TableText"/>
              <w:rPr>
                <w:spacing w:val="-3"/>
              </w:rPr>
            </w:pPr>
            <w:r w:rsidRPr="00EA0576">
              <w:rPr>
                <w:spacing w:val="-3"/>
              </w:rPr>
              <w:t>Income from conducting gaming-machine gambling: exempt income</w:t>
            </w:r>
          </w:p>
        </w:tc>
        <w:tc>
          <w:tcPr>
            <w:tcW w:w="567" w:type="pct"/>
          </w:tcPr>
          <w:p w14:paraId="4D847CE9" w14:textId="77777777" w:rsidR="00BB0CAC" w:rsidRPr="00A96323" w:rsidRDefault="00BB0CAC" w:rsidP="000676D8">
            <w:pPr>
              <w:pStyle w:val="TableText"/>
              <w:rPr>
                <w:rFonts w:cs="Arial"/>
                <w:i/>
                <w:szCs w:val="22"/>
              </w:rPr>
            </w:pPr>
            <w:r w:rsidRPr="00A96323">
              <w:rPr>
                <w:rFonts w:cs="Arial"/>
                <w:i/>
                <w:szCs w:val="22"/>
              </w:rPr>
              <w:t>Section CW 48</w:t>
            </w:r>
          </w:p>
          <w:p w14:paraId="6EB8DBA5" w14:textId="77777777" w:rsidR="00BB0CAC" w:rsidRPr="00A96323" w:rsidRDefault="00BB0CAC" w:rsidP="000676D8">
            <w:pPr>
              <w:pStyle w:val="TableText"/>
              <w:rPr>
                <w:i/>
              </w:rPr>
            </w:pPr>
            <w:r w:rsidRPr="00A96323">
              <w:rPr>
                <w:rFonts w:cs="Arial"/>
                <w:i/>
                <w:szCs w:val="22"/>
              </w:rPr>
              <w:t>-Exemption</w:t>
            </w:r>
          </w:p>
        </w:tc>
        <w:tc>
          <w:tcPr>
            <w:tcW w:w="1015" w:type="pct"/>
          </w:tcPr>
          <w:p w14:paraId="44CF4373" w14:textId="77777777" w:rsidR="00BB0CAC" w:rsidRDefault="00BB0CAC" w:rsidP="000676D8">
            <w:pPr>
              <w:pStyle w:val="TableText"/>
              <w:rPr>
                <w:rFonts w:cs="Arial"/>
                <w:szCs w:val="16"/>
              </w:rPr>
            </w:pPr>
            <w:r w:rsidRPr="00CD766A">
              <w:rPr>
                <w:rFonts w:cs="Arial"/>
                <w:szCs w:val="16"/>
              </w:rPr>
              <w:t xml:space="preserve">Gross gambling proceeds from gaming-machine gambling are exempt income if the person complies with the </w:t>
            </w:r>
            <w:r w:rsidRPr="00CD766A">
              <w:rPr>
                <w:rFonts w:cs="Arial"/>
                <w:i/>
                <w:szCs w:val="16"/>
              </w:rPr>
              <w:t>Gambling Act 2003</w:t>
            </w:r>
            <w:r w:rsidRPr="00CD766A">
              <w:rPr>
                <w:rFonts w:cs="Arial"/>
                <w:szCs w:val="16"/>
              </w:rPr>
              <w:t xml:space="preserve">.  Note that turnover is separately taxed.  </w:t>
            </w:r>
          </w:p>
        </w:tc>
        <w:tc>
          <w:tcPr>
            <w:tcW w:w="1015" w:type="pct"/>
          </w:tcPr>
          <w:p w14:paraId="5E5B6C04" w14:textId="77777777" w:rsidR="00BB0CAC" w:rsidRPr="006418F6" w:rsidRDefault="00BB0CAC" w:rsidP="000676D8">
            <w:pPr>
              <w:pStyle w:val="TableText"/>
              <w:rPr>
                <w:rFonts w:cs="Arial"/>
                <w:color w:val="000000"/>
                <w:szCs w:val="16"/>
                <w:lang w:eastAsia="en-NZ"/>
              </w:rPr>
            </w:pPr>
            <w:r>
              <w:rPr>
                <w:rFonts w:cs="Arial"/>
                <w:color w:val="000000"/>
                <w:szCs w:val="16"/>
                <w:lang w:eastAsia="en-NZ"/>
              </w:rPr>
              <w:t>To reduce compliance costs and ensure</w:t>
            </w:r>
            <w:r w:rsidRPr="00C253BC">
              <w:rPr>
                <w:rFonts w:cs="Arial"/>
                <w:color w:val="000000"/>
                <w:szCs w:val="16"/>
                <w:lang w:eastAsia="en-NZ"/>
              </w:rPr>
              <w:t xml:space="preserve"> there is no bias in favour of amateur sports, whic</w:t>
            </w:r>
            <w:r>
              <w:rPr>
                <w:rFonts w:cs="Arial"/>
                <w:color w:val="000000"/>
                <w:szCs w:val="16"/>
                <w:lang w:eastAsia="en-NZ"/>
              </w:rPr>
              <w:t>h have an income tax exemption.</w:t>
            </w:r>
          </w:p>
        </w:tc>
        <w:tc>
          <w:tcPr>
            <w:tcW w:w="196" w:type="pct"/>
            <w:tcMar>
              <w:left w:w="28" w:type="dxa"/>
              <w:right w:w="28" w:type="dxa"/>
            </w:tcMar>
          </w:tcPr>
          <w:p w14:paraId="744BBC1A" w14:textId="77777777" w:rsidR="00BB0CAC" w:rsidRPr="00825723" w:rsidRDefault="00BB0CAC" w:rsidP="000676D8">
            <w:pPr>
              <w:pStyle w:val="TableText"/>
              <w:jc w:val="center"/>
            </w:pPr>
          </w:p>
        </w:tc>
        <w:tc>
          <w:tcPr>
            <w:tcW w:w="294" w:type="pct"/>
            <w:tcMar>
              <w:left w:w="28" w:type="dxa"/>
              <w:right w:w="28" w:type="dxa"/>
            </w:tcMar>
          </w:tcPr>
          <w:p w14:paraId="187C2BCE" w14:textId="77777777" w:rsidR="00BB0CAC" w:rsidRPr="00825723" w:rsidRDefault="00BB0CAC" w:rsidP="000676D8">
            <w:pPr>
              <w:pStyle w:val="TableText"/>
              <w:jc w:val="center"/>
            </w:pPr>
          </w:p>
        </w:tc>
        <w:tc>
          <w:tcPr>
            <w:tcW w:w="197" w:type="pct"/>
            <w:tcMar>
              <w:left w:w="28" w:type="dxa"/>
              <w:right w:w="28" w:type="dxa"/>
            </w:tcMar>
          </w:tcPr>
          <w:p w14:paraId="6EA94923" w14:textId="77777777" w:rsidR="00BB0CAC" w:rsidRPr="00825723" w:rsidRDefault="00BB0CAC" w:rsidP="000676D8">
            <w:pPr>
              <w:pStyle w:val="TableText"/>
              <w:jc w:val="center"/>
            </w:pPr>
            <w:r w:rsidRPr="00E07D02">
              <w:rPr>
                <w:rFonts w:ascii="Wingdings" w:hAnsi="Wingdings"/>
              </w:rPr>
              <w:t></w:t>
            </w:r>
          </w:p>
        </w:tc>
        <w:tc>
          <w:tcPr>
            <w:tcW w:w="245" w:type="pct"/>
            <w:tcMar>
              <w:left w:w="28" w:type="dxa"/>
              <w:right w:w="28" w:type="dxa"/>
            </w:tcMar>
          </w:tcPr>
          <w:p w14:paraId="6F67B29B" w14:textId="77777777" w:rsidR="00BB0CAC" w:rsidRPr="00825723" w:rsidRDefault="00BB0CAC" w:rsidP="000676D8">
            <w:pPr>
              <w:pStyle w:val="TableText"/>
              <w:jc w:val="center"/>
            </w:pPr>
          </w:p>
        </w:tc>
        <w:tc>
          <w:tcPr>
            <w:tcW w:w="246" w:type="pct"/>
            <w:tcMar>
              <w:left w:w="28" w:type="dxa"/>
              <w:right w:w="28" w:type="dxa"/>
            </w:tcMar>
          </w:tcPr>
          <w:p w14:paraId="783BDDEA" w14:textId="77777777" w:rsidR="00BB0CAC" w:rsidRPr="00825723" w:rsidRDefault="00BB0CAC" w:rsidP="000676D8">
            <w:pPr>
              <w:pStyle w:val="TableText"/>
              <w:jc w:val="center"/>
            </w:pPr>
          </w:p>
        </w:tc>
        <w:tc>
          <w:tcPr>
            <w:tcW w:w="342" w:type="pct"/>
            <w:tcMar>
              <w:left w:w="28" w:type="dxa"/>
              <w:right w:w="28" w:type="dxa"/>
            </w:tcMar>
          </w:tcPr>
          <w:p w14:paraId="2BBD52B8" w14:textId="77777777" w:rsidR="00BB0CAC" w:rsidRPr="00825723" w:rsidRDefault="00BB0CAC" w:rsidP="000676D8">
            <w:pPr>
              <w:pStyle w:val="TableText"/>
              <w:jc w:val="center"/>
            </w:pPr>
            <w:r w:rsidRPr="00E07D02">
              <w:rPr>
                <w:rFonts w:ascii="Wingdings" w:hAnsi="Wingdings"/>
              </w:rPr>
              <w:t></w:t>
            </w:r>
          </w:p>
        </w:tc>
      </w:tr>
      <w:tr w:rsidR="00BB0CAC" w:rsidRPr="00CA6769" w14:paraId="3AE6C26F" w14:textId="77777777" w:rsidTr="008C1748">
        <w:tc>
          <w:tcPr>
            <w:tcW w:w="883" w:type="pct"/>
          </w:tcPr>
          <w:p w14:paraId="41E5C214" w14:textId="77777777" w:rsidR="00BB0CAC" w:rsidRPr="00825723" w:rsidRDefault="00BB0CAC" w:rsidP="000676D8">
            <w:pPr>
              <w:pStyle w:val="TableText"/>
            </w:pPr>
            <w:r w:rsidRPr="00825723">
              <w:t>Independent earner</w:t>
            </w:r>
            <w:r>
              <w:t>:</w:t>
            </w:r>
            <w:r w:rsidRPr="00825723">
              <w:t xml:space="preserve"> tax credit </w:t>
            </w:r>
          </w:p>
        </w:tc>
        <w:tc>
          <w:tcPr>
            <w:tcW w:w="567" w:type="pct"/>
          </w:tcPr>
          <w:p w14:paraId="26534445" w14:textId="77777777" w:rsidR="00BB0CAC" w:rsidRPr="00A96323" w:rsidRDefault="00BB0CAC" w:rsidP="000676D8">
            <w:pPr>
              <w:pStyle w:val="TableText"/>
              <w:rPr>
                <w:rFonts w:cs="Arial"/>
                <w:i/>
                <w:szCs w:val="22"/>
              </w:rPr>
            </w:pPr>
            <w:r w:rsidRPr="00A96323">
              <w:rPr>
                <w:rFonts w:cs="Arial"/>
                <w:i/>
                <w:szCs w:val="22"/>
              </w:rPr>
              <w:t>Section LC 13</w:t>
            </w:r>
          </w:p>
          <w:p w14:paraId="636EDE16" w14:textId="77777777" w:rsidR="00BB0CAC" w:rsidRPr="00A96323" w:rsidRDefault="00BB0CAC" w:rsidP="000676D8">
            <w:pPr>
              <w:pStyle w:val="TableText"/>
              <w:rPr>
                <w:rFonts w:cs="Arial"/>
                <w:i/>
                <w:szCs w:val="22"/>
              </w:rPr>
            </w:pPr>
            <w:r w:rsidRPr="00A96323">
              <w:rPr>
                <w:rFonts w:cs="Arial"/>
                <w:i/>
                <w:szCs w:val="22"/>
              </w:rPr>
              <w:t>-Tax Credit</w:t>
            </w:r>
          </w:p>
        </w:tc>
        <w:tc>
          <w:tcPr>
            <w:tcW w:w="1015" w:type="pct"/>
          </w:tcPr>
          <w:p w14:paraId="2F4AD5B9" w14:textId="77777777" w:rsidR="00BB0CAC" w:rsidRPr="00DF633D" w:rsidRDefault="00BB0CAC" w:rsidP="000676D8">
            <w:pPr>
              <w:pStyle w:val="TableText"/>
              <w:rPr>
                <w:i/>
                <w:iCs/>
                <w:szCs w:val="16"/>
              </w:rPr>
            </w:pPr>
            <w:r w:rsidRPr="0018445D">
              <w:rPr>
                <w:szCs w:val="16"/>
              </w:rPr>
              <w:t xml:space="preserve">Individuals whose income is between $24,000 and $44,000, and who are not receiving certain forms of income, are entitled to a tax credit of $520. This credit abates once annual income rises above $44,000. </w:t>
            </w:r>
          </w:p>
        </w:tc>
        <w:tc>
          <w:tcPr>
            <w:tcW w:w="1015" w:type="pct"/>
          </w:tcPr>
          <w:p w14:paraId="64F5EAFA"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To improve incentives to participate in the workforce.</w:t>
            </w:r>
          </w:p>
          <w:p w14:paraId="494471AE" w14:textId="77777777" w:rsidR="00BB0CAC" w:rsidRPr="00C253BC" w:rsidRDefault="00BB0CAC" w:rsidP="000676D8">
            <w:pPr>
              <w:pStyle w:val="TableText"/>
              <w:rPr>
                <w:rFonts w:cs="Arial"/>
              </w:rPr>
            </w:pPr>
          </w:p>
        </w:tc>
        <w:tc>
          <w:tcPr>
            <w:tcW w:w="196" w:type="pct"/>
            <w:tcMar>
              <w:left w:w="28" w:type="dxa"/>
              <w:right w:w="28" w:type="dxa"/>
            </w:tcMar>
          </w:tcPr>
          <w:p w14:paraId="61C9F986"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1C76774D" w14:textId="77777777" w:rsidR="00BB0CAC" w:rsidRPr="00825723" w:rsidRDefault="00BB0CAC" w:rsidP="000676D8">
            <w:pPr>
              <w:pStyle w:val="TableText"/>
              <w:jc w:val="center"/>
            </w:pPr>
          </w:p>
        </w:tc>
        <w:tc>
          <w:tcPr>
            <w:tcW w:w="197" w:type="pct"/>
            <w:tcMar>
              <w:left w:w="28" w:type="dxa"/>
              <w:right w:w="28" w:type="dxa"/>
            </w:tcMar>
          </w:tcPr>
          <w:p w14:paraId="07CB94DA" w14:textId="77777777" w:rsidR="00BB0CAC" w:rsidRPr="00825723" w:rsidRDefault="00BB0CAC" w:rsidP="000676D8">
            <w:pPr>
              <w:pStyle w:val="TableText"/>
              <w:jc w:val="center"/>
            </w:pPr>
          </w:p>
        </w:tc>
        <w:tc>
          <w:tcPr>
            <w:tcW w:w="245" w:type="pct"/>
            <w:tcMar>
              <w:left w:w="28" w:type="dxa"/>
              <w:right w:w="28" w:type="dxa"/>
            </w:tcMar>
          </w:tcPr>
          <w:p w14:paraId="281A1470" w14:textId="77777777" w:rsidR="00BB0CAC" w:rsidRPr="00825723" w:rsidRDefault="00BB0CAC" w:rsidP="000676D8">
            <w:pPr>
              <w:pStyle w:val="TableText"/>
              <w:jc w:val="center"/>
            </w:pPr>
          </w:p>
        </w:tc>
        <w:tc>
          <w:tcPr>
            <w:tcW w:w="246" w:type="pct"/>
            <w:tcMar>
              <w:left w:w="28" w:type="dxa"/>
              <w:right w:w="28" w:type="dxa"/>
            </w:tcMar>
          </w:tcPr>
          <w:p w14:paraId="0B8ECABB" w14:textId="77777777" w:rsidR="00BB0CAC" w:rsidRPr="00825723" w:rsidRDefault="00BB0CAC" w:rsidP="000676D8">
            <w:pPr>
              <w:pStyle w:val="TableText"/>
              <w:jc w:val="center"/>
            </w:pPr>
          </w:p>
        </w:tc>
        <w:tc>
          <w:tcPr>
            <w:tcW w:w="342" w:type="pct"/>
            <w:tcMar>
              <w:left w:w="28" w:type="dxa"/>
              <w:right w:w="28" w:type="dxa"/>
            </w:tcMar>
          </w:tcPr>
          <w:p w14:paraId="00042AB3" w14:textId="77777777" w:rsidR="00BB0CAC" w:rsidRPr="00825723" w:rsidRDefault="00BB0CAC" w:rsidP="000676D8">
            <w:pPr>
              <w:pStyle w:val="TableText"/>
              <w:jc w:val="center"/>
            </w:pPr>
            <w:r w:rsidRPr="00E07D02">
              <w:rPr>
                <w:rFonts w:ascii="Wingdings" w:hAnsi="Wingdings"/>
              </w:rPr>
              <w:t></w:t>
            </w:r>
          </w:p>
        </w:tc>
      </w:tr>
      <w:tr w:rsidR="00BB0CAC" w:rsidRPr="00CA6769" w14:paraId="3C04C99D" w14:textId="77777777" w:rsidTr="008C1748">
        <w:tc>
          <w:tcPr>
            <w:tcW w:w="883" w:type="pct"/>
          </w:tcPr>
          <w:p w14:paraId="41BDF903" w14:textId="77777777" w:rsidR="00BB0CAC" w:rsidRPr="00825723" w:rsidRDefault="00BB0CAC" w:rsidP="000676D8">
            <w:pPr>
              <w:pStyle w:val="TableText"/>
            </w:pPr>
            <w:r w:rsidRPr="00825723">
              <w:t>Interest on home vendor mortgages: tax credit</w:t>
            </w:r>
          </w:p>
        </w:tc>
        <w:tc>
          <w:tcPr>
            <w:tcW w:w="567" w:type="pct"/>
          </w:tcPr>
          <w:p w14:paraId="3006C3E1" w14:textId="77777777" w:rsidR="00BB0CAC" w:rsidRPr="00A96323" w:rsidRDefault="00BB0CAC" w:rsidP="000676D8">
            <w:pPr>
              <w:pStyle w:val="TableText"/>
              <w:rPr>
                <w:rFonts w:cs="Arial"/>
                <w:i/>
                <w:szCs w:val="22"/>
              </w:rPr>
            </w:pPr>
            <w:r w:rsidRPr="00A96323">
              <w:rPr>
                <w:rFonts w:cs="Arial"/>
                <w:i/>
                <w:szCs w:val="22"/>
              </w:rPr>
              <w:t>Sections LZ 6-8</w:t>
            </w:r>
          </w:p>
          <w:p w14:paraId="0E9555C6" w14:textId="77777777" w:rsidR="00BB0CAC" w:rsidRPr="00A96323" w:rsidRDefault="00BB0CAC" w:rsidP="000676D8">
            <w:pPr>
              <w:pStyle w:val="TableText"/>
              <w:rPr>
                <w:rFonts w:cs="Arial"/>
                <w:i/>
                <w:szCs w:val="22"/>
              </w:rPr>
            </w:pPr>
            <w:r w:rsidRPr="00A96323">
              <w:rPr>
                <w:rFonts w:cs="Arial"/>
                <w:i/>
                <w:szCs w:val="22"/>
              </w:rPr>
              <w:t>-Tax Credit</w:t>
            </w:r>
          </w:p>
        </w:tc>
        <w:tc>
          <w:tcPr>
            <w:tcW w:w="1015" w:type="pct"/>
          </w:tcPr>
          <w:p w14:paraId="120847E7" w14:textId="77777777" w:rsidR="00BB0CAC" w:rsidRPr="00E07D02" w:rsidRDefault="00BB0CAC" w:rsidP="000676D8">
            <w:pPr>
              <w:pStyle w:val="TableText"/>
              <w:rPr>
                <w:rFonts w:ascii="Wingdings" w:hAnsi="Wingdings"/>
              </w:rPr>
            </w:pPr>
            <w:r w:rsidRPr="005229FE">
              <w:rPr>
                <w:rFonts w:cs="Arial"/>
                <w:color w:val="000000"/>
              </w:rPr>
              <w:t>A tax credit may be available for interest from a home vendor mortgage, providing it was approved by the Housing</w:t>
            </w:r>
            <w:r>
              <w:rPr>
                <w:rFonts w:cs="Arial"/>
                <w:color w:val="000000"/>
              </w:rPr>
              <w:t xml:space="preserve"> NZ Corporation, on or before 5 </w:t>
            </w:r>
            <w:r w:rsidRPr="005229FE">
              <w:rPr>
                <w:rFonts w:cs="Arial"/>
                <w:color w:val="000000"/>
              </w:rPr>
              <w:t>August 1982.</w:t>
            </w:r>
          </w:p>
        </w:tc>
        <w:tc>
          <w:tcPr>
            <w:tcW w:w="1015" w:type="pct"/>
          </w:tcPr>
          <w:p w14:paraId="62BB1A85" w14:textId="77777777" w:rsidR="00BB0CAC" w:rsidRPr="00C253BC" w:rsidRDefault="00BB0CAC" w:rsidP="000676D8">
            <w:pPr>
              <w:pStyle w:val="TableText"/>
              <w:rPr>
                <w:rFonts w:cs="Arial"/>
                <w:color w:val="000000"/>
                <w:szCs w:val="16"/>
                <w:highlight w:val="yellow"/>
                <w:lang w:eastAsia="en-NZ"/>
              </w:rPr>
            </w:pPr>
            <w:r>
              <w:rPr>
                <w:rFonts w:cs="Arial"/>
                <w:color w:val="000000"/>
                <w:szCs w:val="16"/>
                <w:lang w:eastAsia="en-NZ"/>
              </w:rPr>
              <w:t>T</w:t>
            </w:r>
            <w:r w:rsidRPr="00BB6CE6">
              <w:rPr>
                <w:rFonts w:cs="Arial"/>
                <w:color w:val="000000"/>
                <w:szCs w:val="16"/>
                <w:lang w:eastAsia="en-NZ"/>
              </w:rPr>
              <w:t>o encourage the most efficient use of the nation</w:t>
            </w:r>
            <w:r>
              <w:rPr>
                <w:rFonts w:cs="Arial"/>
                <w:color w:val="000000"/>
                <w:szCs w:val="16"/>
                <w:lang w:eastAsia="en-NZ"/>
              </w:rPr>
              <w:t>’</w:t>
            </w:r>
            <w:r w:rsidRPr="00BB6CE6">
              <w:rPr>
                <w:rFonts w:cs="Arial"/>
                <w:color w:val="000000"/>
                <w:szCs w:val="16"/>
                <w:lang w:eastAsia="en-NZ"/>
              </w:rPr>
              <w:t>s housing.</w:t>
            </w:r>
          </w:p>
        </w:tc>
        <w:tc>
          <w:tcPr>
            <w:tcW w:w="196" w:type="pct"/>
            <w:tcMar>
              <w:left w:w="28" w:type="dxa"/>
              <w:right w:w="28" w:type="dxa"/>
            </w:tcMar>
          </w:tcPr>
          <w:p w14:paraId="3EF54399"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622F11E8" w14:textId="77777777" w:rsidR="00BB0CAC" w:rsidRPr="00825723" w:rsidRDefault="00BB0CAC" w:rsidP="000676D8">
            <w:pPr>
              <w:pStyle w:val="TableText"/>
              <w:jc w:val="center"/>
            </w:pPr>
          </w:p>
        </w:tc>
        <w:tc>
          <w:tcPr>
            <w:tcW w:w="197" w:type="pct"/>
            <w:tcMar>
              <w:left w:w="28" w:type="dxa"/>
              <w:right w:w="28" w:type="dxa"/>
            </w:tcMar>
          </w:tcPr>
          <w:p w14:paraId="42CEDC81" w14:textId="77777777" w:rsidR="00BB0CAC" w:rsidRPr="00825723" w:rsidRDefault="00BB0CAC" w:rsidP="000676D8">
            <w:pPr>
              <w:pStyle w:val="TableText"/>
              <w:jc w:val="center"/>
            </w:pPr>
          </w:p>
        </w:tc>
        <w:tc>
          <w:tcPr>
            <w:tcW w:w="245" w:type="pct"/>
            <w:tcMar>
              <w:left w:w="28" w:type="dxa"/>
              <w:right w:w="28" w:type="dxa"/>
            </w:tcMar>
          </w:tcPr>
          <w:p w14:paraId="14EE17EF" w14:textId="77777777" w:rsidR="00BB0CAC" w:rsidRPr="00825723" w:rsidRDefault="00BB0CAC" w:rsidP="000676D8">
            <w:pPr>
              <w:pStyle w:val="TableText"/>
              <w:jc w:val="center"/>
            </w:pPr>
            <w:r w:rsidRPr="00E07D02">
              <w:rPr>
                <w:rFonts w:ascii="Wingdings" w:hAnsi="Wingdings"/>
              </w:rPr>
              <w:t></w:t>
            </w:r>
          </w:p>
        </w:tc>
        <w:tc>
          <w:tcPr>
            <w:tcW w:w="246" w:type="pct"/>
            <w:tcMar>
              <w:left w:w="28" w:type="dxa"/>
              <w:right w:w="28" w:type="dxa"/>
            </w:tcMar>
          </w:tcPr>
          <w:p w14:paraId="0D18E1DA" w14:textId="77777777" w:rsidR="00BB0CAC" w:rsidRPr="00825723" w:rsidRDefault="00BB0CAC" w:rsidP="000676D8">
            <w:pPr>
              <w:pStyle w:val="TableText"/>
              <w:jc w:val="center"/>
            </w:pPr>
          </w:p>
        </w:tc>
        <w:tc>
          <w:tcPr>
            <w:tcW w:w="342" w:type="pct"/>
            <w:tcMar>
              <w:left w:w="28" w:type="dxa"/>
              <w:right w:w="28" w:type="dxa"/>
            </w:tcMar>
          </w:tcPr>
          <w:p w14:paraId="0E9D1A40" w14:textId="77777777" w:rsidR="00BB0CAC" w:rsidRPr="00825723" w:rsidRDefault="00BB0CAC" w:rsidP="000676D8">
            <w:pPr>
              <w:pStyle w:val="TableText"/>
              <w:jc w:val="center"/>
            </w:pPr>
            <w:r w:rsidRPr="00E07D02">
              <w:rPr>
                <w:rFonts w:ascii="Wingdings" w:hAnsi="Wingdings"/>
              </w:rPr>
              <w:t></w:t>
            </w:r>
          </w:p>
        </w:tc>
      </w:tr>
      <w:tr w:rsidR="00BB0CAC" w:rsidRPr="00844BF8" w14:paraId="1CEC905C" w14:textId="77777777" w:rsidTr="008C1748">
        <w:tc>
          <w:tcPr>
            <w:tcW w:w="883" w:type="pct"/>
          </w:tcPr>
          <w:p w14:paraId="1EB76700" w14:textId="77777777" w:rsidR="00BB0CAC" w:rsidRPr="00825723" w:rsidRDefault="00BB0CAC" w:rsidP="000676D8">
            <w:pPr>
              <w:pStyle w:val="TableText"/>
            </w:pPr>
            <w:r w:rsidRPr="00825723">
              <w:t>Jurors</w:t>
            </w:r>
            <w:r>
              <w:t>’</w:t>
            </w:r>
            <w:r w:rsidRPr="00825723">
              <w:t xml:space="preserve"> and witnesses</w:t>
            </w:r>
            <w:r>
              <w:t>’</w:t>
            </w:r>
            <w:r w:rsidRPr="00825723">
              <w:t xml:space="preserve"> fees: exempt income</w:t>
            </w:r>
          </w:p>
        </w:tc>
        <w:tc>
          <w:tcPr>
            <w:tcW w:w="567" w:type="pct"/>
          </w:tcPr>
          <w:p w14:paraId="7CF7321B" w14:textId="77777777" w:rsidR="00BB0CAC" w:rsidRPr="00A96323" w:rsidRDefault="00BB0CAC" w:rsidP="000676D8">
            <w:pPr>
              <w:pStyle w:val="TableText"/>
              <w:rPr>
                <w:rFonts w:cs="Arial"/>
                <w:i/>
                <w:szCs w:val="22"/>
              </w:rPr>
            </w:pPr>
            <w:r w:rsidRPr="00A96323">
              <w:rPr>
                <w:rFonts w:cs="Arial"/>
                <w:i/>
                <w:szCs w:val="22"/>
              </w:rPr>
              <w:t>Section CW 26</w:t>
            </w:r>
          </w:p>
          <w:p w14:paraId="324A1E1C"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6071EC04" w14:textId="77777777" w:rsidR="00BB0CAC" w:rsidRDefault="00BB0CAC" w:rsidP="000676D8">
            <w:pPr>
              <w:pStyle w:val="TableText"/>
              <w:rPr>
                <w:rFonts w:cs="Arial"/>
                <w:szCs w:val="16"/>
              </w:rPr>
            </w:pPr>
            <w:r w:rsidRPr="00CD766A">
              <w:rPr>
                <w:rFonts w:cs="Arial"/>
                <w:szCs w:val="16"/>
              </w:rPr>
              <w:t>Fees paid by the Crown to jurors and its witnesses, other than expert witnesses, are exempt income.</w:t>
            </w:r>
          </w:p>
        </w:tc>
        <w:tc>
          <w:tcPr>
            <w:tcW w:w="1015" w:type="pct"/>
            <w:vAlign w:val="center"/>
          </w:tcPr>
          <w:p w14:paraId="0D78391C"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 xml:space="preserve">To encourage public involvement in law enforcement by increasing the net payment to witnesses. Cost savings for the </w:t>
            </w:r>
            <w:r>
              <w:rPr>
                <w:rFonts w:cs="Arial"/>
                <w:color w:val="000000"/>
                <w:szCs w:val="16"/>
                <w:lang w:eastAsia="en-NZ"/>
              </w:rPr>
              <w:t>D</w:t>
            </w:r>
            <w:r w:rsidRPr="00C253BC">
              <w:rPr>
                <w:rFonts w:cs="Arial"/>
                <w:color w:val="000000"/>
                <w:szCs w:val="16"/>
                <w:lang w:eastAsia="en-NZ"/>
              </w:rPr>
              <w:t xml:space="preserve">epartment of Justice who administer the payments, which outweigh the tax </w:t>
            </w:r>
            <w:proofErr w:type="gramStart"/>
            <w:r>
              <w:rPr>
                <w:rFonts w:cs="Arial"/>
                <w:color w:val="000000"/>
                <w:szCs w:val="16"/>
                <w:lang w:eastAsia="en-NZ"/>
              </w:rPr>
              <w:t>foregone</w:t>
            </w:r>
            <w:r w:rsidRPr="00C253BC">
              <w:rPr>
                <w:rFonts w:cs="Arial"/>
                <w:color w:val="000000"/>
                <w:szCs w:val="16"/>
                <w:lang w:eastAsia="en-NZ"/>
              </w:rPr>
              <w:t>.</w:t>
            </w:r>
            <w:proofErr w:type="gramEnd"/>
          </w:p>
        </w:tc>
        <w:tc>
          <w:tcPr>
            <w:tcW w:w="196" w:type="pct"/>
            <w:tcMar>
              <w:left w:w="28" w:type="dxa"/>
              <w:right w:w="28" w:type="dxa"/>
            </w:tcMar>
          </w:tcPr>
          <w:p w14:paraId="5833B0FA"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52193D70" w14:textId="77777777" w:rsidR="00BB0CAC" w:rsidRPr="00825723" w:rsidRDefault="00BB0CAC" w:rsidP="000676D8">
            <w:pPr>
              <w:pStyle w:val="TableText"/>
              <w:jc w:val="center"/>
            </w:pPr>
          </w:p>
        </w:tc>
        <w:tc>
          <w:tcPr>
            <w:tcW w:w="197" w:type="pct"/>
            <w:tcMar>
              <w:left w:w="28" w:type="dxa"/>
              <w:right w:w="28" w:type="dxa"/>
            </w:tcMar>
          </w:tcPr>
          <w:p w14:paraId="2D56CAA1" w14:textId="77777777" w:rsidR="00BB0CAC" w:rsidRPr="00825723" w:rsidRDefault="00BB0CAC" w:rsidP="000676D8">
            <w:pPr>
              <w:pStyle w:val="TableText"/>
              <w:jc w:val="center"/>
            </w:pPr>
          </w:p>
        </w:tc>
        <w:tc>
          <w:tcPr>
            <w:tcW w:w="245" w:type="pct"/>
            <w:tcMar>
              <w:left w:w="28" w:type="dxa"/>
              <w:right w:w="28" w:type="dxa"/>
            </w:tcMar>
          </w:tcPr>
          <w:p w14:paraId="75A84D44" w14:textId="77777777" w:rsidR="00BB0CAC" w:rsidRPr="00825723" w:rsidRDefault="00BB0CAC" w:rsidP="000676D8">
            <w:pPr>
              <w:pStyle w:val="TableText"/>
              <w:jc w:val="center"/>
            </w:pPr>
          </w:p>
        </w:tc>
        <w:tc>
          <w:tcPr>
            <w:tcW w:w="246" w:type="pct"/>
            <w:tcMar>
              <w:left w:w="28" w:type="dxa"/>
              <w:right w:w="28" w:type="dxa"/>
            </w:tcMar>
          </w:tcPr>
          <w:p w14:paraId="54A90E2E" w14:textId="77777777" w:rsidR="00BB0CAC" w:rsidRPr="00825723" w:rsidRDefault="00BB0CAC" w:rsidP="000676D8">
            <w:pPr>
              <w:pStyle w:val="TableText"/>
              <w:jc w:val="center"/>
            </w:pPr>
          </w:p>
        </w:tc>
        <w:tc>
          <w:tcPr>
            <w:tcW w:w="342" w:type="pct"/>
            <w:tcMar>
              <w:left w:w="28" w:type="dxa"/>
              <w:right w:w="28" w:type="dxa"/>
            </w:tcMar>
          </w:tcPr>
          <w:p w14:paraId="7491EAE0" w14:textId="77777777" w:rsidR="00BB0CAC" w:rsidRPr="00825723" w:rsidRDefault="00BB0CAC" w:rsidP="000676D8">
            <w:pPr>
              <w:pStyle w:val="TableText"/>
              <w:jc w:val="center"/>
            </w:pPr>
            <w:r w:rsidRPr="00E07D02">
              <w:rPr>
                <w:rFonts w:ascii="Wingdings" w:hAnsi="Wingdings"/>
              </w:rPr>
              <w:t></w:t>
            </w:r>
          </w:p>
        </w:tc>
      </w:tr>
      <w:tr w:rsidR="00BB0CAC" w:rsidRPr="00844BF8" w14:paraId="07B67495" w14:textId="77777777" w:rsidTr="008C1748">
        <w:tc>
          <w:tcPr>
            <w:tcW w:w="883" w:type="pct"/>
          </w:tcPr>
          <w:p w14:paraId="3A6ACC00" w14:textId="77777777" w:rsidR="00BB0CAC" w:rsidRPr="00825723" w:rsidRDefault="00BB0CAC" w:rsidP="000676D8">
            <w:pPr>
              <w:pStyle w:val="TableText"/>
              <w:pageBreakBefore/>
            </w:pPr>
            <w:r w:rsidRPr="00825723">
              <w:lastRenderedPageBreak/>
              <w:br w:type="page"/>
              <w:t>Local and regional promotional bodies: exempt income</w:t>
            </w:r>
          </w:p>
        </w:tc>
        <w:tc>
          <w:tcPr>
            <w:tcW w:w="567" w:type="pct"/>
          </w:tcPr>
          <w:p w14:paraId="2E20E6C8" w14:textId="77777777" w:rsidR="00BB0CAC" w:rsidRPr="00A96323" w:rsidRDefault="00BB0CAC" w:rsidP="000676D8">
            <w:pPr>
              <w:pStyle w:val="TableText"/>
              <w:rPr>
                <w:rFonts w:cs="Arial"/>
                <w:i/>
                <w:szCs w:val="22"/>
              </w:rPr>
            </w:pPr>
            <w:r w:rsidRPr="00A96323">
              <w:rPr>
                <w:rFonts w:cs="Arial"/>
                <w:i/>
                <w:szCs w:val="22"/>
              </w:rPr>
              <w:t>Section CW 40</w:t>
            </w:r>
          </w:p>
          <w:p w14:paraId="3F4244C6" w14:textId="77777777" w:rsidR="00BB0CAC" w:rsidRPr="00A96323" w:rsidRDefault="00BB0CAC" w:rsidP="000676D8">
            <w:pPr>
              <w:pStyle w:val="TableText"/>
              <w:rPr>
                <w:i/>
              </w:rPr>
            </w:pPr>
            <w:r w:rsidRPr="00A96323">
              <w:rPr>
                <w:rFonts w:cs="Arial"/>
                <w:i/>
                <w:szCs w:val="22"/>
              </w:rPr>
              <w:t>-Exemption</w:t>
            </w:r>
          </w:p>
        </w:tc>
        <w:tc>
          <w:tcPr>
            <w:tcW w:w="1015" w:type="pct"/>
          </w:tcPr>
          <w:p w14:paraId="6C5529A8" w14:textId="77777777" w:rsidR="00BB0CAC" w:rsidRDefault="00BB0CAC" w:rsidP="000676D8">
            <w:pPr>
              <w:pStyle w:val="TableText"/>
              <w:rPr>
                <w:rFonts w:cs="Arial"/>
                <w:szCs w:val="16"/>
              </w:rPr>
            </w:pPr>
            <w:r w:rsidRPr="00CD766A">
              <w:rPr>
                <w:rFonts w:cs="Arial"/>
                <w:szCs w:val="16"/>
              </w:rPr>
              <w:t xml:space="preserve">The income derived by a charitable association or society is exempt income, if it is primarily established for beautification purposes. </w:t>
            </w:r>
          </w:p>
        </w:tc>
        <w:tc>
          <w:tcPr>
            <w:tcW w:w="1015" w:type="pct"/>
          </w:tcPr>
          <w:p w14:paraId="1A2C080C"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To encourage local and regional beautification/advertisement</w:t>
            </w:r>
            <w:r>
              <w:rPr>
                <w:rFonts w:cs="Arial"/>
                <w:color w:val="000000"/>
                <w:szCs w:val="16"/>
                <w:lang w:eastAsia="en-NZ"/>
              </w:rPr>
              <w:t>.</w:t>
            </w:r>
          </w:p>
          <w:p w14:paraId="263D6B22" w14:textId="77777777" w:rsidR="00BB0CAC" w:rsidRPr="00C253BC" w:rsidRDefault="00BB0CAC" w:rsidP="000676D8">
            <w:pPr>
              <w:pStyle w:val="TableText"/>
              <w:rPr>
                <w:rFonts w:cs="Arial"/>
              </w:rPr>
            </w:pPr>
          </w:p>
        </w:tc>
        <w:tc>
          <w:tcPr>
            <w:tcW w:w="196" w:type="pct"/>
            <w:tcMar>
              <w:left w:w="28" w:type="dxa"/>
              <w:right w:w="28" w:type="dxa"/>
            </w:tcMar>
          </w:tcPr>
          <w:p w14:paraId="1D43C8BA"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4C784516" w14:textId="77777777" w:rsidR="00BB0CAC" w:rsidRPr="00825723" w:rsidRDefault="00BB0CAC" w:rsidP="000676D8">
            <w:pPr>
              <w:pStyle w:val="TableText"/>
              <w:jc w:val="center"/>
            </w:pPr>
          </w:p>
        </w:tc>
        <w:tc>
          <w:tcPr>
            <w:tcW w:w="197" w:type="pct"/>
            <w:tcMar>
              <w:left w:w="28" w:type="dxa"/>
              <w:right w:w="28" w:type="dxa"/>
            </w:tcMar>
          </w:tcPr>
          <w:p w14:paraId="3CFF3BB4" w14:textId="77777777" w:rsidR="00BB0CAC" w:rsidRPr="00825723" w:rsidRDefault="00BB0CAC" w:rsidP="000676D8">
            <w:pPr>
              <w:pStyle w:val="TableText"/>
              <w:jc w:val="center"/>
            </w:pPr>
          </w:p>
        </w:tc>
        <w:tc>
          <w:tcPr>
            <w:tcW w:w="245" w:type="pct"/>
            <w:tcMar>
              <w:left w:w="28" w:type="dxa"/>
              <w:right w:w="28" w:type="dxa"/>
            </w:tcMar>
          </w:tcPr>
          <w:p w14:paraId="26A232A5" w14:textId="77777777" w:rsidR="00BB0CAC" w:rsidRPr="00825723" w:rsidRDefault="00BB0CAC" w:rsidP="000676D8">
            <w:pPr>
              <w:pStyle w:val="TableText"/>
              <w:jc w:val="center"/>
            </w:pPr>
          </w:p>
        </w:tc>
        <w:tc>
          <w:tcPr>
            <w:tcW w:w="246" w:type="pct"/>
            <w:tcMar>
              <w:left w:w="28" w:type="dxa"/>
              <w:right w:w="28" w:type="dxa"/>
            </w:tcMar>
          </w:tcPr>
          <w:p w14:paraId="377DBE02" w14:textId="77777777" w:rsidR="00BB0CAC" w:rsidRPr="00825723" w:rsidRDefault="00BB0CAC" w:rsidP="000676D8">
            <w:pPr>
              <w:pStyle w:val="TableText"/>
              <w:jc w:val="center"/>
            </w:pPr>
          </w:p>
        </w:tc>
        <w:tc>
          <w:tcPr>
            <w:tcW w:w="342" w:type="pct"/>
            <w:tcMar>
              <w:left w:w="28" w:type="dxa"/>
              <w:right w:w="28" w:type="dxa"/>
            </w:tcMar>
          </w:tcPr>
          <w:p w14:paraId="6DEF12F0" w14:textId="77777777" w:rsidR="00BB0CAC" w:rsidRPr="00825723" w:rsidRDefault="00BB0CAC" w:rsidP="000676D8">
            <w:pPr>
              <w:pStyle w:val="TableText"/>
              <w:jc w:val="center"/>
            </w:pPr>
            <w:r w:rsidRPr="00E07D02">
              <w:rPr>
                <w:rFonts w:ascii="Wingdings" w:hAnsi="Wingdings"/>
              </w:rPr>
              <w:t></w:t>
            </w:r>
          </w:p>
        </w:tc>
      </w:tr>
      <w:tr w:rsidR="00BB0CAC" w:rsidRPr="00844BF8" w14:paraId="2D07B6DF" w14:textId="77777777" w:rsidTr="008C1748">
        <w:tc>
          <w:tcPr>
            <w:tcW w:w="883" w:type="pct"/>
          </w:tcPr>
          <w:p w14:paraId="7DA3211C" w14:textId="0A466B9D" w:rsidR="00BB0CAC" w:rsidRPr="00825723" w:rsidRDefault="00BB0CAC" w:rsidP="000676D8">
            <w:pPr>
              <w:pStyle w:val="TableText"/>
            </w:pPr>
            <w:r>
              <w:t>Māori</w:t>
            </w:r>
            <w:r w:rsidRPr="00825723">
              <w:t xml:space="preserve"> Authorities: </w:t>
            </w:r>
            <w:r>
              <w:t>deduc</w:t>
            </w:r>
            <w:r w:rsidR="00126FAF" w:rsidRPr="00126FAF">
              <w:t>t</w:t>
            </w:r>
            <w:r>
              <w:t>ion</w:t>
            </w:r>
          </w:p>
        </w:tc>
        <w:tc>
          <w:tcPr>
            <w:tcW w:w="567" w:type="pct"/>
          </w:tcPr>
          <w:p w14:paraId="763A3D15" w14:textId="77777777" w:rsidR="00BB0CAC" w:rsidRPr="00A96323" w:rsidRDefault="00BB0CAC" w:rsidP="000676D8">
            <w:pPr>
              <w:pStyle w:val="TableText"/>
              <w:rPr>
                <w:rFonts w:cs="Arial"/>
                <w:i/>
                <w:szCs w:val="22"/>
              </w:rPr>
            </w:pPr>
            <w:r w:rsidRPr="00A96323">
              <w:rPr>
                <w:rFonts w:cs="Arial"/>
                <w:i/>
                <w:szCs w:val="22"/>
              </w:rPr>
              <w:t>Section DV 12</w:t>
            </w:r>
          </w:p>
          <w:p w14:paraId="33465008" w14:textId="77777777" w:rsidR="00BB0CAC" w:rsidRPr="00A96323" w:rsidRDefault="00BB0CAC" w:rsidP="000676D8">
            <w:pPr>
              <w:pStyle w:val="TableText"/>
              <w:rPr>
                <w:i/>
              </w:rPr>
            </w:pPr>
            <w:r w:rsidRPr="00A96323">
              <w:rPr>
                <w:rFonts w:cs="Arial"/>
                <w:i/>
                <w:szCs w:val="22"/>
              </w:rPr>
              <w:t>-Deduction</w:t>
            </w:r>
          </w:p>
        </w:tc>
        <w:tc>
          <w:tcPr>
            <w:tcW w:w="1015" w:type="pct"/>
          </w:tcPr>
          <w:p w14:paraId="2B79110F" w14:textId="77777777" w:rsidR="00BB0CAC" w:rsidRDefault="00BB0CAC" w:rsidP="000676D8">
            <w:pPr>
              <w:pStyle w:val="TableText"/>
              <w:rPr>
                <w:rFonts w:cs="Arial"/>
                <w:szCs w:val="16"/>
              </w:rPr>
            </w:pPr>
            <w:r w:rsidRPr="00CD766A">
              <w:rPr>
                <w:rFonts w:cs="Arial"/>
                <w:szCs w:val="16"/>
              </w:rPr>
              <w:t xml:space="preserve">A Māori authority is allowed a deduction for a </w:t>
            </w:r>
            <w:r>
              <w:rPr>
                <w:rFonts w:cs="Arial"/>
                <w:szCs w:val="16"/>
              </w:rPr>
              <w:t xml:space="preserve">cash </w:t>
            </w:r>
            <w:r w:rsidRPr="00CD766A">
              <w:rPr>
                <w:rFonts w:cs="Arial"/>
                <w:szCs w:val="16"/>
              </w:rPr>
              <w:t xml:space="preserve">donation that it makes to a Māori association as defined in the </w:t>
            </w:r>
            <w:r w:rsidRPr="00CD766A">
              <w:rPr>
                <w:rFonts w:cs="Arial"/>
                <w:i/>
                <w:szCs w:val="16"/>
              </w:rPr>
              <w:t>Māori Community Development Act 1962</w:t>
            </w:r>
            <w:r w:rsidRPr="00CD766A">
              <w:rPr>
                <w:rFonts w:cs="Arial"/>
                <w:szCs w:val="16"/>
              </w:rPr>
              <w:t xml:space="preserve">. It is also allowed a deduction for charitable or other public benefit </w:t>
            </w:r>
            <w:r>
              <w:rPr>
                <w:rFonts w:cs="Arial"/>
                <w:szCs w:val="16"/>
              </w:rPr>
              <w:t xml:space="preserve">cash </w:t>
            </w:r>
            <w:r w:rsidRPr="00CD766A">
              <w:rPr>
                <w:rFonts w:cs="Arial"/>
                <w:szCs w:val="16"/>
              </w:rPr>
              <w:t xml:space="preserve">gifts.  This </w:t>
            </w:r>
            <w:r>
              <w:rPr>
                <w:rFonts w:cs="Arial"/>
                <w:szCs w:val="16"/>
              </w:rPr>
              <w:t xml:space="preserve">deduction </w:t>
            </w:r>
            <w:r w:rsidRPr="00CD766A">
              <w:rPr>
                <w:rFonts w:cs="Arial"/>
                <w:szCs w:val="16"/>
              </w:rPr>
              <w:t xml:space="preserve">is limited by net income.  </w:t>
            </w:r>
          </w:p>
        </w:tc>
        <w:tc>
          <w:tcPr>
            <w:tcW w:w="1015" w:type="pct"/>
          </w:tcPr>
          <w:p w14:paraId="5E90313B"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Tax incentives for charitable donation.</w:t>
            </w:r>
          </w:p>
          <w:p w14:paraId="5CBD9AE5" w14:textId="77777777" w:rsidR="00BB0CAC" w:rsidRPr="00C253BC" w:rsidRDefault="00BB0CAC" w:rsidP="000676D8">
            <w:pPr>
              <w:pStyle w:val="TableText"/>
              <w:rPr>
                <w:rFonts w:cs="Arial"/>
              </w:rPr>
            </w:pPr>
          </w:p>
        </w:tc>
        <w:tc>
          <w:tcPr>
            <w:tcW w:w="196" w:type="pct"/>
            <w:tcMar>
              <w:left w:w="28" w:type="dxa"/>
              <w:right w:w="28" w:type="dxa"/>
            </w:tcMar>
          </w:tcPr>
          <w:p w14:paraId="70EC23B2"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2E226212" w14:textId="77777777" w:rsidR="00BB0CAC" w:rsidRPr="00825723" w:rsidRDefault="00BB0CAC" w:rsidP="000676D8">
            <w:pPr>
              <w:pStyle w:val="TableText"/>
              <w:jc w:val="center"/>
            </w:pPr>
          </w:p>
        </w:tc>
        <w:tc>
          <w:tcPr>
            <w:tcW w:w="197" w:type="pct"/>
            <w:tcMar>
              <w:left w:w="28" w:type="dxa"/>
              <w:right w:w="28" w:type="dxa"/>
            </w:tcMar>
          </w:tcPr>
          <w:p w14:paraId="7819107F" w14:textId="77777777" w:rsidR="00BB0CAC" w:rsidRPr="00825723" w:rsidRDefault="00BB0CAC" w:rsidP="000676D8">
            <w:pPr>
              <w:pStyle w:val="TableText"/>
              <w:jc w:val="center"/>
            </w:pPr>
          </w:p>
        </w:tc>
        <w:tc>
          <w:tcPr>
            <w:tcW w:w="245" w:type="pct"/>
            <w:tcMar>
              <w:left w:w="28" w:type="dxa"/>
              <w:right w:w="28" w:type="dxa"/>
            </w:tcMar>
          </w:tcPr>
          <w:p w14:paraId="749ACEAC" w14:textId="77777777" w:rsidR="00BB0CAC" w:rsidRPr="00825723" w:rsidRDefault="00BB0CAC" w:rsidP="000676D8">
            <w:pPr>
              <w:pStyle w:val="TableText"/>
              <w:jc w:val="center"/>
            </w:pPr>
          </w:p>
        </w:tc>
        <w:tc>
          <w:tcPr>
            <w:tcW w:w="246" w:type="pct"/>
            <w:tcMar>
              <w:left w:w="28" w:type="dxa"/>
              <w:right w:w="28" w:type="dxa"/>
            </w:tcMar>
          </w:tcPr>
          <w:p w14:paraId="71F7841C" w14:textId="77777777" w:rsidR="00BB0CAC" w:rsidRPr="00825723" w:rsidRDefault="00BB0CAC" w:rsidP="000676D8">
            <w:pPr>
              <w:pStyle w:val="TableText"/>
              <w:jc w:val="center"/>
            </w:pPr>
          </w:p>
        </w:tc>
        <w:tc>
          <w:tcPr>
            <w:tcW w:w="342" w:type="pct"/>
            <w:tcMar>
              <w:left w:w="28" w:type="dxa"/>
              <w:right w:w="28" w:type="dxa"/>
            </w:tcMar>
          </w:tcPr>
          <w:p w14:paraId="3F94081A" w14:textId="77777777" w:rsidR="00BB0CAC" w:rsidRPr="00825723" w:rsidRDefault="00BB0CAC" w:rsidP="000676D8">
            <w:pPr>
              <w:pStyle w:val="TableText"/>
              <w:jc w:val="center"/>
            </w:pPr>
            <w:r w:rsidRPr="00E07D02">
              <w:rPr>
                <w:rFonts w:ascii="Wingdings" w:hAnsi="Wingdings"/>
              </w:rPr>
              <w:t></w:t>
            </w:r>
          </w:p>
        </w:tc>
      </w:tr>
      <w:tr w:rsidR="00BB0CAC" w:rsidRPr="00844BF8" w14:paraId="52670BAC" w14:textId="77777777" w:rsidTr="008C1748">
        <w:tc>
          <w:tcPr>
            <w:tcW w:w="883" w:type="pct"/>
          </w:tcPr>
          <w:p w14:paraId="1BFF524B" w14:textId="77777777" w:rsidR="00BB0CAC" w:rsidRDefault="00BB0CAC" w:rsidP="000676D8">
            <w:pPr>
              <w:pStyle w:val="TableText"/>
            </w:pPr>
            <w:r>
              <w:t>Non-profit organisations</w:t>
            </w:r>
          </w:p>
        </w:tc>
        <w:tc>
          <w:tcPr>
            <w:tcW w:w="567" w:type="pct"/>
          </w:tcPr>
          <w:p w14:paraId="2D04D373" w14:textId="77777777" w:rsidR="00BB0CAC" w:rsidRPr="00A96323" w:rsidRDefault="00BB0CAC" w:rsidP="000676D8">
            <w:pPr>
              <w:pStyle w:val="TableText"/>
              <w:rPr>
                <w:rFonts w:cs="Arial"/>
                <w:i/>
                <w:szCs w:val="22"/>
              </w:rPr>
            </w:pPr>
            <w:r w:rsidRPr="00A96323">
              <w:rPr>
                <w:rFonts w:cs="Arial"/>
                <w:i/>
                <w:szCs w:val="22"/>
              </w:rPr>
              <w:t>Section DV 8</w:t>
            </w:r>
          </w:p>
          <w:p w14:paraId="2D30B234" w14:textId="77777777" w:rsidR="00BB0CAC" w:rsidRPr="00A96323" w:rsidRDefault="00BB0CAC" w:rsidP="000676D8">
            <w:pPr>
              <w:pStyle w:val="TableText"/>
              <w:rPr>
                <w:rFonts w:cs="Arial"/>
                <w:i/>
                <w:szCs w:val="22"/>
              </w:rPr>
            </w:pPr>
            <w:r w:rsidRPr="00A96323">
              <w:rPr>
                <w:rFonts w:cs="Arial"/>
                <w:i/>
                <w:szCs w:val="22"/>
              </w:rPr>
              <w:t>-Deduction</w:t>
            </w:r>
          </w:p>
        </w:tc>
        <w:tc>
          <w:tcPr>
            <w:tcW w:w="1015" w:type="pct"/>
          </w:tcPr>
          <w:p w14:paraId="40313D0C" w14:textId="77777777" w:rsidR="00BB0CAC" w:rsidRDefault="00BB0CAC" w:rsidP="000676D8">
            <w:pPr>
              <w:pStyle w:val="TableText"/>
              <w:rPr>
                <w:rFonts w:cs="Arial"/>
                <w:bCs/>
                <w:szCs w:val="16"/>
              </w:rPr>
            </w:pPr>
            <w:r>
              <w:rPr>
                <w:rFonts w:cs="Arial"/>
                <w:bCs/>
                <w:szCs w:val="16"/>
              </w:rPr>
              <w:t>Non-profit organisations are entitled to an income tax deduction for the lesser of $1,000 and their net income.</w:t>
            </w:r>
          </w:p>
        </w:tc>
        <w:tc>
          <w:tcPr>
            <w:tcW w:w="1015" w:type="pct"/>
          </w:tcPr>
          <w:p w14:paraId="3BFFCC20" w14:textId="77777777" w:rsidR="00BB0CAC" w:rsidRPr="00C253BC" w:rsidRDefault="00BB0CAC" w:rsidP="000676D8">
            <w:pPr>
              <w:pStyle w:val="TableText"/>
              <w:rPr>
                <w:rFonts w:cs="Arial"/>
                <w:color w:val="000000"/>
              </w:rPr>
            </w:pPr>
            <w:r>
              <w:rPr>
                <w:rFonts w:cs="Arial"/>
                <w:color w:val="000000"/>
              </w:rPr>
              <w:t>To reduce compliance costs.</w:t>
            </w:r>
          </w:p>
        </w:tc>
        <w:tc>
          <w:tcPr>
            <w:tcW w:w="196" w:type="pct"/>
            <w:tcMar>
              <w:left w:w="28" w:type="dxa"/>
              <w:right w:w="28" w:type="dxa"/>
            </w:tcMar>
          </w:tcPr>
          <w:p w14:paraId="5F46CE80"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3A6CED66" w14:textId="77777777" w:rsidR="00BB0CAC" w:rsidRPr="00E07D02" w:rsidRDefault="00BB0CAC" w:rsidP="000676D8">
            <w:pPr>
              <w:pStyle w:val="TableText"/>
              <w:jc w:val="center"/>
              <w:rPr>
                <w:rFonts w:ascii="Wingdings" w:hAnsi="Wingdings"/>
              </w:rPr>
            </w:pPr>
          </w:p>
        </w:tc>
        <w:tc>
          <w:tcPr>
            <w:tcW w:w="197" w:type="pct"/>
            <w:tcMar>
              <w:left w:w="28" w:type="dxa"/>
              <w:right w:w="28" w:type="dxa"/>
            </w:tcMar>
          </w:tcPr>
          <w:p w14:paraId="7FDC4747" w14:textId="77777777" w:rsidR="00BB0CAC" w:rsidRPr="00825723" w:rsidRDefault="00BB0CAC" w:rsidP="000676D8">
            <w:pPr>
              <w:pStyle w:val="TableText"/>
              <w:jc w:val="center"/>
            </w:pPr>
          </w:p>
        </w:tc>
        <w:tc>
          <w:tcPr>
            <w:tcW w:w="245" w:type="pct"/>
            <w:tcMar>
              <w:left w:w="28" w:type="dxa"/>
              <w:right w:w="28" w:type="dxa"/>
            </w:tcMar>
          </w:tcPr>
          <w:p w14:paraId="40A77E35" w14:textId="77777777" w:rsidR="00BB0CAC" w:rsidRPr="00825723" w:rsidRDefault="00BB0CAC" w:rsidP="000676D8">
            <w:pPr>
              <w:pStyle w:val="TableText"/>
              <w:jc w:val="center"/>
            </w:pPr>
          </w:p>
        </w:tc>
        <w:tc>
          <w:tcPr>
            <w:tcW w:w="246" w:type="pct"/>
            <w:tcMar>
              <w:left w:w="28" w:type="dxa"/>
              <w:right w:w="28" w:type="dxa"/>
            </w:tcMar>
          </w:tcPr>
          <w:p w14:paraId="74A18434" w14:textId="77777777" w:rsidR="00BB0CAC" w:rsidRPr="00E07D02" w:rsidRDefault="00BB0CAC" w:rsidP="000676D8">
            <w:pPr>
              <w:pStyle w:val="TableText"/>
              <w:jc w:val="center"/>
              <w:rPr>
                <w:rFonts w:ascii="Wingdings" w:hAnsi="Wingdings"/>
              </w:rPr>
            </w:pPr>
          </w:p>
        </w:tc>
        <w:tc>
          <w:tcPr>
            <w:tcW w:w="342" w:type="pct"/>
            <w:tcMar>
              <w:left w:w="28" w:type="dxa"/>
              <w:right w:w="28" w:type="dxa"/>
            </w:tcMar>
          </w:tcPr>
          <w:p w14:paraId="7359ADA2" w14:textId="77777777" w:rsidR="00BB0CAC" w:rsidRPr="00E07D02" w:rsidRDefault="00BB0CAC" w:rsidP="000676D8">
            <w:pPr>
              <w:pStyle w:val="TableText"/>
              <w:jc w:val="center"/>
              <w:rPr>
                <w:rFonts w:ascii="Wingdings" w:hAnsi="Wingdings"/>
              </w:rPr>
            </w:pPr>
            <w:r w:rsidRPr="00E07D02">
              <w:rPr>
                <w:rFonts w:ascii="Wingdings" w:hAnsi="Wingdings"/>
              </w:rPr>
              <w:t></w:t>
            </w:r>
          </w:p>
        </w:tc>
      </w:tr>
      <w:tr w:rsidR="00BB0CAC" w:rsidRPr="00844BF8" w14:paraId="132E8DD5" w14:textId="77777777" w:rsidTr="008C1748">
        <w:tc>
          <w:tcPr>
            <w:tcW w:w="883" w:type="pct"/>
          </w:tcPr>
          <w:p w14:paraId="5637AE02" w14:textId="77777777" w:rsidR="00BB0CAC" w:rsidRPr="00825723" w:rsidRDefault="00BB0CAC" w:rsidP="000676D8">
            <w:pPr>
              <w:pStyle w:val="TableText"/>
            </w:pPr>
            <w:r>
              <w:t>Non-resident oil rig and seismic vessel operator - tax exemption</w:t>
            </w:r>
          </w:p>
        </w:tc>
        <w:tc>
          <w:tcPr>
            <w:tcW w:w="567" w:type="pct"/>
          </w:tcPr>
          <w:p w14:paraId="311B6B7A" w14:textId="77777777" w:rsidR="00BB0CAC" w:rsidRPr="00A96323" w:rsidRDefault="00BB0CAC" w:rsidP="000676D8">
            <w:pPr>
              <w:pStyle w:val="TableText"/>
              <w:rPr>
                <w:rFonts w:cs="Arial"/>
                <w:i/>
                <w:szCs w:val="22"/>
              </w:rPr>
            </w:pPr>
            <w:r w:rsidRPr="00A96323">
              <w:rPr>
                <w:rFonts w:cs="Arial"/>
                <w:i/>
                <w:szCs w:val="22"/>
              </w:rPr>
              <w:t>Section CW 57</w:t>
            </w:r>
          </w:p>
          <w:p w14:paraId="03F6FE9E"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359297F7" w14:textId="77777777" w:rsidR="00BB0CAC" w:rsidRDefault="00BB0CAC" w:rsidP="000676D8">
            <w:pPr>
              <w:pStyle w:val="TableText"/>
              <w:rPr>
                <w:rFonts w:cs="Arial"/>
                <w:bCs/>
                <w:szCs w:val="16"/>
              </w:rPr>
            </w:pPr>
            <w:r>
              <w:rPr>
                <w:rFonts w:cs="Arial"/>
                <w:bCs/>
                <w:szCs w:val="16"/>
              </w:rPr>
              <w:t xml:space="preserve">Income derived by non-resident operators of oil rigs and seismic vessels is exempt from taxation. </w:t>
            </w:r>
          </w:p>
        </w:tc>
        <w:tc>
          <w:tcPr>
            <w:tcW w:w="1015" w:type="pct"/>
          </w:tcPr>
          <w:p w14:paraId="53DCAAC8" w14:textId="77777777" w:rsidR="00BB0CAC" w:rsidRPr="00C253BC" w:rsidRDefault="00BB0CAC" w:rsidP="000676D8">
            <w:pPr>
              <w:pStyle w:val="TableText"/>
              <w:rPr>
                <w:rFonts w:cs="Arial"/>
              </w:rPr>
            </w:pPr>
            <w:r w:rsidRPr="00C253BC">
              <w:rPr>
                <w:rFonts w:cs="Arial"/>
                <w:color w:val="000000"/>
              </w:rPr>
              <w:t xml:space="preserve">To </w:t>
            </w:r>
            <w:r>
              <w:rPr>
                <w:rFonts w:cs="Arial"/>
                <w:color w:val="000000"/>
              </w:rPr>
              <w:t xml:space="preserve">prevent rig operators leaving NZ before 183 days and a separate operator having to come in to finish the job. </w:t>
            </w:r>
          </w:p>
        </w:tc>
        <w:tc>
          <w:tcPr>
            <w:tcW w:w="196" w:type="pct"/>
            <w:tcMar>
              <w:left w:w="28" w:type="dxa"/>
              <w:right w:w="28" w:type="dxa"/>
            </w:tcMar>
          </w:tcPr>
          <w:p w14:paraId="5390A282" w14:textId="77777777" w:rsidR="00BB0CAC" w:rsidRPr="00825723" w:rsidRDefault="00BB0CAC" w:rsidP="000676D8">
            <w:pPr>
              <w:pStyle w:val="TableText"/>
              <w:jc w:val="center"/>
            </w:pPr>
          </w:p>
        </w:tc>
        <w:tc>
          <w:tcPr>
            <w:tcW w:w="294" w:type="pct"/>
            <w:tcMar>
              <w:left w:w="28" w:type="dxa"/>
              <w:right w:w="28" w:type="dxa"/>
            </w:tcMar>
          </w:tcPr>
          <w:p w14:paraId="6EB7259F" w14:textId="77777777" w:rsidR="00BB0CAC" w:rsidRPr="00E07D02" w:rsidRDefault="00BB0CAC" w:rsidP="000676D8">
            <w:pPr>
              <w:pStyle w:val="TableText"/>
              <w:jc w:val="center"/>
              <w:rPr>
                <w:rFonts w:ascii="Wingdings" w:hAnsi="Wingdings"/>
              </w:rPr>
            </w:pPr>
            <w:r w:rsidRPr="00E07D02">
              <w:rPr>
                <w:rFonts w:ascii="Wingdings" w:hAnsi="Wingdings"/>
              </w:rPr>
              <w:t></w:t>
            </w:r>
          </w:p>
        </w:tc>
        <w:tc>
          <w:tcPr>
            <w:tcW w:w="197" w:type="pct"/>
            <w:tcMar>
              <w:left w:w="28" w:type="dxa"/>
              <w:right w:w="28" w:type="dxa"/>
            </w:tcMar>
          </w:tcPr>
          <w:p w14:paraId="032B4126" w14:textId="77777777" w:rsidR="00BB0CAC" w:rsidRPr="00825723" w:rsidRDefault="00BB0CAC" w:rsidP="000676D8">
            <w:pPr>
              <w:pStyle w:val="TableText"/>
              <w:jc w:val="center"/>
            </w:pPr>
          </w:p>
        </w:tc>
        <w:tc>
          <w:tcPr>
            <w:tcW w:w="245" w:type="pct"/>
            <w:tcMar>
              <w:left w:w="28" w:type="dxa"/>
              <w:right w:w="28" w:type="dxa"/>
            </w:tcMar>
          </w:tcPr>
          <w:p w14:paraId="2D6EF000" w14:textId="77777777" w:rsidR="00BB0CAC" w:rsidRPr="00825723" w:rsidRDefault="00BB0CAC" w:rsidP="000676D8">
            <w:pPr>
              <w:pStyle w:val="TableText"/>
              <w:jc w:val="center"/>
            </w:pPr>
          </w:p>
        </w:tc>
        <w:tc>
          <w:tcPr>
            <w:tcW w:w="246" w:type="pct"/>
            <w:tcMar>
              <w:left w:w="28" w:type="dxa"/>
              <w:right w:w="28" w:type="dxa"/>
            </w:tcMar>
          </w:tcPr>
          <w:p w14:paraId="13F9F564" w14:textId="77777777" w:rsidR="00BB0CAC" w:rsidRPr="00E07D02" w:rsidRDefault="00BB0CAC" w:rsidP="000676D8">
            <w:pPr>
              <w:pStyle w:val="TableText"/>
              <w:jc w:val="center"/>
              <w:rPr>
                <w:rFonts w:ascii="Wingdings" w:hAnsi="Wingdings"/>
              </w:rPr>
            </w:pPr>
          </w:p>
        </w:tc>
        <w:tc>
          <w:tcPr>
            <w:tcW w:w="342" w:type="pct"/>
            <w:tcMar>
              <w:left w:w="28" w:type="dxa"/>
              <w:right w:w="28" w:type="dxa"/>
            </w:tcMar>
          </w:tcPr>
          <w:p w14:paraId="7747A915" w14:textId="77777777" w:rsidR="00BB0CAC" w:rsidRPr="00825723" w:rsidRDefault="00BB0CAC" w:rsidP="000676D8">
            <w:pPr>
              <w:pStyle w:val="TableText"/>
              <w:jc w:val="center"/>
            </w:pPr>
            <w:r w:rsidRPr="00E07D02">
              <w:rPr>
                <w:rFonts w:ascii="Wingdings" w:hAnsi="Wingdings"/>
              </w:rPr>
              <w:t></w:t>
            </w:r>
          </w:p>
        </w:tc>
      </w:tr>
      <w:tr w:rsidR="00BB0CAC" w:rsidRPr="00844BF8" w14:paraId="7AB33828" w14:textId="77777777" w:rsidTr="008C1748">
        <w:tc>
          <w:tcPr>
            <w:tcW w:w="883" w:type="pct"/>
          </w:tcPr>
          <w:p w14:paraId="7C03D9F3" w14:textId="77777777" w:rsidR="00BB0CAC" w:rsidRPr="00825723" w:rsidRDefault="00BB0CAC" w:rsidP="000676D8">
            <w:pPr>
              <w:pStyle w:val="TableText"/>
            </w:pPr>
            <w:r w:rsidRPr="00825723">
              <w:t>Payments of interest post-war credits: exempt income</w:t>
            </w:r>
          </w:p>
        </w:tc>
        <w:tc>
          <w:tcPr>
            <w:tcW w:w="567" w:type="pct"/>
          </w:tcPr>
          <w:p w14:paraId="3ACD3A9C" w14:textId="77777777" w:rsidR="00BB0CAC" w:rsidRPr="00A96323" w:rsidRDefault="00BB0CAC" w:rsidP="000676D8">
            <w:pPr>
              <w:pStyle w:val="TableText"/>
              <w:rPr>
                <w:rFonts w:cs="Arial"/>
                <w:i/>
                <w:szCs w:val="22"/>
              </w:rPr>
            </w:pPr>
            <w:r w:rsidRPr="00A96323">
              <w:rPr>
                <w:rFonts w:cs="Arial"/>
                <w:i/>
                <w:szCs w:val="22"/>
              </w:rPr>
              <w:t>Section CW 5</w:t>
            </w:r>
          </w:p>
          <w:p w14:paraId="6E4E4BE9"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4CC3104C" w14:textId="77777777" w:rsidR="00BB0CAC" w:rsidRDefault="00BB0CAC" w:rsidP="000676D8">
            <w:pPr>
              <w:pStyle w:val="TableText"/>
              <w:rPr>
                <w:rFonts w:cs="Arial"/>
                <w:szCs w:val="16"/>
              </w:rPr>
            </w:pPr>
            <w:r w:rsidRPr="00CD766A">
              <w:rPr>
                <w:rFonts w:cs="Arial"/>
                <w:szCs w:val="16"/>
              </w:rPr>
              <w:t xml:space="preserve">Interest derived by a person under section 2 of the </w:t>
            </w:r>
            <w:r w:rsidRPr="00CD766A">
              <w:rPr>
                <w:rFonts w:cs="Arial"/>
                <w:i/>
                <w:szCs w:val="16"/>
              </w:rPr>
              <w:t>Income Tax (Repayment of Post-War Credits) Act 1959</w:t>
            </w:r>
            <w:r w:rsidRPr="00CD766A">
              <w:rPr>
                <w:rFonts w:cs="Arial"/>
                <w:szCs w:val="16"/>
              </w:rPr>
              <w:t xml:space="preserve"> of the United Kingdom Parliament is exempt income.</w:t>
            </w:r>
          </w:p>
        </w:tc>
        <w:tc>
          <w:tcPr>
            <w:tcW w:w="1015" w:type="pct"/>
          </w:tcPr>
          <w:p w14:paraId="725507C0" w14:textId="77777777" w:rsidR="00BB0CAC" w:rsidRPr="00C253BC" w:rsidRDefault="00BB0CAC" w:rsidP="000676D8">
            <w:pPr>
              <w:pStyle w:val="TableText"/>
              <w:rPr>
                <w:rFonts w:cs="Arial"/>
                <w:color w:val="000000"/>
                <w:szCs w:val="16"/>
                <w:lang w:eastAsia="en-NZ"/>
              </w:rPr>
            </w:pPr>
            <w:r>
              <w:rPr>
                <w:rFonts w:cs="Arial"/>
                <w:color w:val="000000"/>
                <w:szCs w:val="16"/>
                <w:lang w:eastAsia="en-NZ"/>
              </w:rPr>
              <w:t>To reduce compliance costs, as i</w:t>
            </w:r>
            <w:r w:rsidRPr="00C253BC">
              <w:rPr>
                <w:rFonts w:cs="Arial"/>
                <w:color w:val="000000"/>
                <w:szCs w:val="16"/>
                <w:lang w:eastAsia="en-NZ"/>
              </w:rPr>
              <w:t>nterest on post-war credits was alr</w:t>
            </w:r>
            <w:r>
              <w:rPr>
                <w:rFonts w:cs="Arial"/>
                <w:color w:val="000000"/>
                <w:szCs w:val="16"/>
                <w:lang w:eastAsia="en-NZ"/>
              </w:rPr>
              <w:t>eady exempt from tax in the UK</w:t>
            </w:r>
            <w:r w:rsidRPr="00C253BC">
              <w:rPr>
                <w:rFonts w:cs="Arial"/>
                <w:color w:val="000000"/>
                <w:szCs w:val="16"/>
                <w:lang w:eastAsia="en-NZ"/>
              </w:rPr>
              <w:t>.</w:t>
            </w:r>
          </w:p>
          <w:p w14:paraId="43175047" w14:textId="77777777" w:rsidR="00BB0CAC" w:rsidRPr="00C253BC" w:rsidRDefault="00BB0CAC" w:rsidP="000676D8">
            <w:pPr>
              <w:pStyle w:val="TableText"/>
              <w:rPr>
                <w:rFonts w:cs="Arial"/>
              </w:rPr>
            </w:pPr>
          </w:p>
        </w:tc>
        <w:tc>
          <w:tcPr>
            <w:tcW w:w="196" w:type="pct"/>
            <w:tcMar>
              <w:left w:w="28" w:type="dxa"/>
              <w:right w:w="28" w:type="dxa"/>
            </w:tcMar>
          </w:tcPr>
          <w:p w14:paraId="706F93A0" w14:textId="77777777" w:rsidR="00BB0CAC" w:rsidRPr="00825723" w:rsidRDefault="00BB0CAC" w:rsidP="000676D8">
            <w:pPr>
              <w:pStyle w:val="TableText"/>
              <w:jc w:val="center"/>
            </w:pPr>
            <w:r w:rsidRPr="00E07D02">
              <w:rPr>
                <w:rFonts w:ascii="Wingdings" w:hAnsi="Wingdings"/>
              </w:rPr>
              <w:t></w:t>
            </w:r>
          </w:p>
        </w:tc>
        <w:tc>
          <w:tcPr>
            <w:tcW w:w="294" w:type="pct"/>
            <w:tcMar>
              <w:left w:w="28" w:type="dxa"/>
              <w:right w:w="28" w:type="dxa"/>
            </w:tcMar>
          </w:tcPr>
          <w:p w14:paraId="037F472E" w14:textId="77777777" w:rsidR="00BB0CAC" w:rsidRPr="00825723" w:rsidRDefault="00BB0CAC" w:rsidP="000676D8">
            <w:pPr>
              <w:pStyle w:val="TableText"/>
              <w:jc w:val="center"/>
            </w:pPr>
          </w:p>
        </w:tc>
        <w:tc>
          <w:tcPr>
            <w:tcW w:w="197" w:type="pct"/>
            <w:tcMar>
              <w:left w:w="28" w:type="dxa"/>
              <w:right w:w="28" w:type="dxa"/>
            </w:tcMar>
          </w:tcPr>
          <w:p w14:paraId="44DA7279" w14:textId="77777777" w:rsidR="00BB0CAC" w:rsidRPr="00825723" w:rsidRDefault="00BB0CAC" w:rsidP="000676D8">
            <w:pPr>
              <w:pStyle w:val="TableText"/>
              <w:jc w:val="center"/>
            </w:pPr>
          </w:p>
        </w:tc>
        <w:tc>
          <w:tcPr>
            <w:tcW w:w="245" w:type="pct"/>
            <w:tcMar>
              <w:left w:w="28" w:type="dxa"/>
              <w:right w:w="28" w:type="dxa"/>
            </w:tcMar>
          </w:tcPr>
          <w:p w14:paraId="0B665FBB" w14:textId="77777777" w:rsidR="00BB0CAC" w:rsidRPr="00825723" w:rsidRDefault="00BB0CAC" w:rsidP="000676D8">
            <w:pPr>
              <w:pStyle w:val="TableText"/>
              <w:jc w:val="center"/>
            </w:pPr>
          </w:p>
        </w:tc>
        <w:tc>
          <w:tcPr>
            <w:tcW w:w="246" w:type="pct"/>
            <w:tcMar>
              <w:left w:w="28" w:type="dxa"/>
              <w:right w:w="28" w:type="dxa"/>
            </w:tcMar>
          </w:tcPr>
          <w:p w14:paraId="71733F41" w14:textId="77777777" w:rsidR="00BB0CAC" w:rsidRPr="00825723" w:rsidRDefault="00BB0CAC" w:rsidP="000676D8">
            <w:pPr>
              <w:pStyle w:val="TableText"/>
              <w:jc w:val="center"/>
            </w:pPr>
          </w:p>
        </w:tc>
        <w:tc>
          <w:tcPr>
            <w:tcW w:w="342" w:type="pct"/>
            <w:tcMar>
              <w:left w:w="28" w:type="dxa"/>
              <w:right w:w="28" w:type="dxa"/>
            </w:tcMar>
          </w:tcPr>
          <w:p w14:paraId="6D4E94E6" w14:textId="77777777" w:rsidR="00BB0CAC" w:rsidRPr="00825723" w:rsidRDefault="00BB0CAC" w:rsidP="000676D8">
            <w:pPr>
              <w:pStyle w:val="TableText"/>
              <w:jc w:val="center"/>
            </w:pPr>
            <w:r w:rsidRPr="00E07D02">
              <w:rPr>
                <w:rFonts w:ascii="Wingdings" w:hAnsi="Wingdings"/>
              </w:rPr>
              <w:t></w:t>
            </w:r>
          </w:p>
        </w:tc>
      </w:tr>
      <w:tr w:rsidR="00BB0CAC" w:rsidRPr="00844BF8" w14:paraId="691F2D14" w14:textId="77777777" w:rsidTr="008C1748">
        <w:tc>
          <w:tcPr>
            <w:tcW w:w="883" w:type="pct"/>
          </w:tcPr>
          <w:p w14:paraId="487E596E" w14:textId="77777777" w:rsidR="00BB0CAC" w:rsidRDefault="00BB0CAC" w:rsidP="000676D8">
            <w:pPr>
              <w:pStyle w:val="TableText"/>
            </w:pPr>
            <w:r w:rsidRPr="00825723">
              <w:t>Payments of interest on farm mortgages: exempt income</w:t>
            </w:r>
          </w:p>
        </w:tc>
        <w:tc>
          <w:tcPr>
            <w:tcW w:w="567" w:type="pct"/>
          </w:tcPr>
          <w:p w14:paraId="3239B764" w14:textId="77777777" w:rsidR="00BB0CAC" w:rsidRPr="00A96323" w:rsidRDefault="00BB0CAC" w:rsidP="000676D8">
            <w:pPr>
              <w:pStyle w:val="TableText"/>
              <w:rPr>
                <w:rFonts w:cs="Arial"/>
                <w:i/>
                <w:szCs w:val="22"/>
              </w:rPr>
            </w:pPr>
            <w:r w:rsidRPr="00A96323">
              <w:rPr>
                <w:rFonts w:cs="Arial"/>
                <w:i/>
                <w:szCs w:val="22"/>
              </w:rPr>
              <w:t>Section CW 6</w:t>
            </w:r>
          </w:p>
          <w:p w14:paraId="6B3D366A" w14:textId="77777777" w:rsidR="00BB0CAC" w:rsidRPr="00A96323" w:rsidRDefault="00BB0CAC" w:rsidP="000676D8">
            <w:pPr>
              <w:pStyle w:val="TableText"/>
              <w:rPr>
                <w:rFonts w:cs="Arial"/>
                <w:i/>
                <w:szCs w:val="22"/>
              </w:rPr>
            </w:pPr>
            <w:r w:rsidRPr="00A96323">
              <w:rPr>
                <w:rFonts w:cs="Arial"/>
                <w:i/>
                <w:szCs w:val="22"/>
              </w:rPr>
              <w:t>-Exemption</w:t>
            </w:r>
          </w:p>
        </w:tc>
        <w:tc>
          <w:tcPr>
            <w:tcW w:w="1015" w:type="pct"/>
          </w:tcPr>
          <w:p w14:paraId="265D7E77" w14:textId="77777777" w:rsidR="00BB0CAC" w:rsidRDefault="00BB0CAC" w:rsidP="000676D8">
            <w:pPr>
              <w:pStyle w:val="TableText"/>
              <w:rPr>
                <w:rFonts w:cs="Arial"/>
                <w:szCs w:val="16"/>
              </w:rPr>
            </w:pPr>
            <w:r w:rsidRPr="00CD766A">
              <w:rPr>
                <w:rFonts w:cs="Arial"/>
                <w:szCs w:val="16"/>
              </w:rPr>
              <w:t>50 percent of the interest that an individual derives from a mortgage securing a loan made by a seller of a farm is exempt income, if the Rural Banking and Finance Corporation of New Zealand approves the mortgage.</w:t>
            </w:r>
          </w:p>
        </w:tc>
        <w:tc>
          <w:tcPr>
            <w:tcW w:w="1015" w:type="pct"/>
          </w:tcPr>
          <w:p w14:paraId="6BC95BBE" w14:textId="77777777" w:rsidR="00BB0CAC" w:rsidRPr="00C253BC" w:rsidRDefault="00BB0CAC" w:rsidP="000676D8">
            <w:pPr>
              <w:pStyle w:val="TableText"/>
              <w:rPr>
                <w:rFonts w:cs="Arial"/>
                <w:color w:val="000000"/>
                <w:szCs w:val="16"/>
                <w:lang w:eastAsia="en-NZ"/>
              </w:rPr>
            </w:pPr>
            <w:r w:rsidRPr="00C253BC">
              <w:rPr>
                <w:rFonts w:cs="Arial"/>
                <w:color w:val="000000"/>
                <w:szCs w:val="16"/>
                <w:lang w:eastAsia="en-NZ"/>
              </w:rPr>
              <w:t>To encourage young farmers</w:t>
            </w:r>
            <w:r>
              <w:rPr>
                <w:rFonts w:cs="Arial"/>
                <w:color w:val="000000"/>
                <w:szCs w:val="16"/>
                <w:lang w:eastAsia="en-NZ"/>
              </w:rPr>
              <w:t>.</w:t>
            </w:r>
            <w:r w:rsidRPr="00C253BC">
              <w:rPr>
                <w:rFonts w:cs="Arial"/>
                <w:color w:val="000000"/>
                <w:szCs w:val="16"/>
                <w:lang w:eastAsia="en-NZ"/>
              </w:rPr>
              <w:t xml:space="preserve"> </w:t>
            </w:r>
          </w:p>
          <w:p w14:paraId="26D170ED" w14:textId="77777777" w:rsidR="00BB0CAC" w:rsidRPr="00C253BC" w:rsidRDefault="00BB0CAC" w:rsidP="000676D8">
            <w:pPr>
              <w:pStyle w:val="TableText"/>
              <w:rPr>
                <w:rFonts w:cs="Arial"/>
              </w:rPr>
            </w:pPr>
          </w:p>
        </w:tc>
        <w:tc>
          <w:tcPr>
            <w:tcW w:w="196" w:type="pct"/>
            <w:tcMar>
              <w:left w:w="28" w:type="dxa"/>
              <w:right w:w="28" w:type="dxa"/>
            </w:tcMar>
          </w:tcPr>
          <w:p w14:paraId="4BE5F2F6" w14:textId="77777777" w:rsidR="00BB0CAC" w:rsidRPr="00825723" w:rsidRDefault="00BB0CAC" w:rsidP="000676D8">
            <w:pPr>
              <w:pStyle w:val="TableText"/>
              <w:jc w:val="center"/>
            </w:pPr>
          </w:p>
        </w:tc>
        <w:tc>
          <w:tcPr>
            <w:tcW w:w="294" w:type="pct"/>
            <w:tcMar>
              <w:left w:w="28" w:type="dxa"/>
              <w:right w:w="28" w:type="dxa"/>
            </w:tcMar>
          </w:tcPr>
          <w:p w14:paraId="4FA6B06B" w14:textId="77777777" w:rsidR="00BB0CAC" w:rsidRPr="00825723" w:rsidRDefault="00BB0CAC" w:rsidP="000676D8">
            <w:pPr>
              <w:pStyle w:val="TableText"/>
              <w:jc w:val="center"/>
            </w:pPr>
            <w:r w:rsidRPr="00E07D02">
              <w:rPr>
                <w:rFonts w:ascii="Wingdings" w:hAnsi="Wingdings"/>
              </w:rPr>
              <w:t></w:t>
            </w:r>
          </w:p>
        </w:tc>
        <w:tc>
          <w:tcPr>
            <w:tcW w:w="197" w:type="pct"/>
            <w:tcMar>
              <w:left w:w="28" w:type="dxa"/>
              <w:right w:w="28" w:type="dxa"/>
            </w:tcMar>
          </w:tcPr>
          <w:p w14:paraId="48CAC5AC" w14:textId="77777777" w:rsidR="00BB0CAC" w:rsidRPr="00825723" w:rsidRDefault="00BB0CAC" w:rsidP="000676D8">
            <w:pPr>
              <w:pStyle w:val="TableText"/>
              <w:jc w:val="center"/>
            </w:pPr>
          </w:p>
        </w:tc>
        <w:tc>
          <w:tcPr>
            <w:tcW w:w="245" w:type="pct"/>
            <w:tcMar>
              <w:left w:w="28" w:type="dxa"/>
              <w:right w:w="28" w:type="dxa"/>
            </w:tcMar>
          </w:tcPr>
          <w:p w14:paraId="260E384B" w14:textId="77777777" w:rsidR="00BB0CAC" w:rsidRPr="00825723" w:rsidRDefault="00BB0CAC" w:rsidP="000676D8">
            <w:pPr>
              <w:pStyle w:val="TableText"/>
              <w:jc w:val="center"/>
            </w:pPr>
          </w:p>
        </w:tc>
        <w:tc>
          <w:tcPr>
            <w:tcW w:w="246" w:type="pct"/>
            <w:tcMar>
              <w:left w:w="28" w:type="dxa"/>
              <w:right w:w="28" w:type="dxa"/>
            </w:tcMar>
          </w:tcPr>
          <w:p w14:paraId="0A9262CD" w14:textId="77777777" w:rsidR="00BB0CAC" w:rsidRPr="00825723" w:rsidRDefault="00BB0CAC" w:rsidP="000676D8">
            <w:pPr>
              <w:pStyle w:val="TableText"/>
              <w:jc w:val="center"/>
            </w:pPr>
          </w:p>
        </w:tc>
        <w:tc>
          <w:tcPr>
            <w:tcW w:w="342" w:type="pct"/>
            <w:tcMar>
              <w:left w:w="28" w:type="dxa"/>
              <w:right w:w="28" w:type="dxa"/>
            </w:tcMar>
          </w:tcPr>
          <w:p w14:paraId="2CE505E0" w14:textId="77777777" w:rsidR="00BB0CAC" w:rsidRPr="00825723" w:rsidRDefault="00BB0CAC" w:rsidP="000676D8">
            <w:pPr>
              <w:pStyle w:val="TableText"/>
              <w:jc w:val="center"/>
            </w:pPr>
            <w:r w:rsidRPr="00E07D02">
              <w:rPr>
                <w:rFonts w:ascii="Wingdings" w:hAnsi="Wingdings"/>
              </w:rPr>
              <w:t></w:t>
            </w:r>
          </w:p>
        </w:tc>
      </w:tr>
      <w:tr w:rsidR="00BB0CAC" w:rsidRPr="00844BF8" w14:paraId="6CF4E512" w14:textId="77777777" w:rsidTr="008C1748">
        <w:tc>
          <w:tcPr>
            <w:tcW w:w="883" w:type="pct"/>
          </w:tcPr>
          <w:p w14:paraId="6C1135C6" w14:textId="77777777" w:rsidR="00BB0CAC" w:rsidRPr="00825723" w:rsidRDefault="00BB0CAC" w:rsidP="000676D8">
            <w:pPr>
              <w:pStyle w:val="TableText"/>
            </w:pPr>
            <w:r w:rsidRPr="00825723">
              <w:t xml:space="preserve">Petroleum mining expenditure: </w:t>
            </w:r>
            <w:r>
              <w:t xml:space="preserve">accelerated </w:t>
            </w:r>
            <w:r w:rsidRPr="00825723">
              <w:t xml:space="preserve">deduction </w:t>
            </w:r>
          </w:p>
        </w:tc>
        <w:tc>
          <w:tcPr>
            <w:tcW w:w="567" w:type="pct"/>
          </w:tcPr>
          <w:p w14:paraId="6B48E124" w14:textId="77777777" w:rsidR="00BB0CAC" w:rsidRPr="00A96323" w:rsidRDefault="00BB0CAC" w:rsidP="000676D8">
            <w:pPr>
              <w:pStyle w:val="TableText"/>
              <w:rPr>
                <w:rFonts w:cs="Arial"/>
                <w:i/>
                <w:szCs w:val="22"/>
              </w:rPr>
            </w:pPr>
            <w:r w:rsidRPr="00A96323">
              <w:rPr>
                <w:rFonts w:cs="Arial"/>
                <w:i/>
                <w:szCs w:val="22"/>
              </w:rPr>
              <w:t>Subpart  DT, sections EJ 12-20</w:t>
            </w:r>
          </w:p>
          <w:p w14:paraId="65F217CA" w14:textId="77777777" w:rsidR="00BB0CAC" w:rsidRPr="00A96323" w:rsidRDefault="00BB0CAC" w:rsidP="000676D8">
            <w:pPr>
              <w:pStyle w:val="TableText"/>
              <w:rPr>
                <w:rFonts w:cs="Arial"/>
                <w:i/>
                <w:szCs w:val="22"/>
              </w:rPr>
            </w:pPr>
            <w:r w:rsidRPr="00A96323">
              <w:rPr>
                <w:rFonts w:cs="Arial"/>
                <w:i/>
                <w:szCs w:val="22"/>
              </w:rPr>
              <w:t>-Deduction</w:t>
            </w:r>
          </w:p>
        </w:tc>
        <w:tc>
          <w:tcPr>
            <w:tcW w:w="1015" w:type="pct"/>
          </w:tcPr>
          <w:p w14:paraId="13878803" w14:textId="77777777" w:rsidR="00BB0CAC" w:rsidRDefault="00BB0CAC" w:rsidP="000676D8">
            <w:pPr>
              <w:pStyle w:val="TableText"/>
              <w:rPr>
                <w:rFonts w:cs="Arial"/>
                <w:szCs w:val="16"/>
              </w:rPr>
            </w:pPr>
            <w:r w:rsidRPr="00CD766A">
              <w:rPr>
                <w:rFonts w:cs="Arial"/>
                <w:szCs w:val="16"/>
              </w:rPr>
              <w:t>Development expenditure is written off over an accelerated seven-year period.</w:t>
            </w:r>
          </w:p>
        </w:tc>
        <w:tc>
          <w:tcPr>
            <w:tcW w:w="1015" w:type="pct"/>
          </w:tcPr>
          <w:p w14:paraId="51799695" w14:textId="77777777" w:rsidR="00BB0CAC" w:rsidRPr="00C253BC" w:rsidRDefault="00BB0CAC" w:rsidP="000676D8">
            <w:pPr>
              <w:pStyle w:val="TableText"/>
              <w:rPr>
                <w:rFonts w:cs="Arial"/>
              </w:rPr>
            </w:pPr>
            <w:r w:rsidRPr="00C253BC">
              <w:rPr>
                <w:rFonts w:cs="Arial"/>
                <w:color w:val="000000"/>
              </w:rPr>
              <w:t>To make the NZ mining industry more c</w:t>
            </w:r>
            <w:r>
              <w:rPr>
                <w:rFonts w:cs="Arial"/>
                <w:color w:val="000000"/>
              </w:rPr>
              <w:t>ompetitive internation</w:t>
            </w:r>
            <w:r w:rsidRPr="00BB6CE6">
              <w:rPr>
                <w:rFonts w:cs="Arial"/>
                <w:color w:val="000000"/>
              </w:rPr>
              <w:t>ally (and similar to the rules in Australia)</w:t>
            </w:r>
          </w:p>
        </w:tc>
        <w:tc>
          <w:tcPr>
            <w:tcW w:w="196" w:type="pct"/>
            <w:tcMar>
              <w:left w:w="28" w:type="dxa"/>
              <w:right w:w="28" w:type="dxa"/>
            </w:tcMar>
          </w:tcPr>
          <w:p w14:paraId="4092B483" w14:textId="77777777" w:rsidR="00BB0CAC" w:rsidRPr="00825723" w:rsidRDefault="00BB0CAC" w:rsidP="000676D8">
            <w:pPr>
              <w:pStyle w:val="TableText"/>
              <w:jc w:val="center"/>
            </w:pPr>
          </w:p>
        </w:tc>
        <w:tc>
          <w:tcPr>
            <w:tcW w:w="294" w:type="pct"/>
            <w:tcMar>
              <w:left w:w="28" w:type="dxa"/>
              <w:right w:w="28" w:type="dxa"/>
            </w:tcMar>
          </w:tcPr>
          <w:p w14:paraId="5723CC05" w14:textId="77777777" w:rsidR="00BB0CAC" w:rsidRPr="00825723" w:rsidRDefault="00BB0CAC" w:rsidP="000676D8">
            <w:pPr>
              <w:pStyle w:val="TableText"/>
              <w:jc w:val="center"/>
            </w:pPr>
            <w:r w:rsidRPr="00E07D02">
              <w:rPr>
                <w:rFonts w:ascii="Wingdings" w:hAnsi="Wingdings"/>
              </w:rPr>
              <w:t></w:t>
            </w:r>
          </w:p>
        </w:tc>
        <w:tc>
          <w:tcPr>
            <w:tcW w:w="197" w:type="pct"/>
            <w:tcMar>
              <w:left w:w="28" w:type="dxa"/>
              <w:right w:w="28" w:type="dxa"/>
            </w:tcMar>
          </w:tcPr>
          <w:p w14:paraId="1356D222" w14:textId="77777777" w:rsidR="00BB0CAC" w:rsidRPr="00825723" w:rsidRDefault="00BB0CAC" w:rsidP="000676D8">
            <w:pPr>
              <w:pStyle w:val="TableText"/>
              <w:jc w:val="center"/>
            </w:pPr>
          </w:p>
        </w:tc>
        <w:tc>
          <w:tcPr>
            <w:tcW w:w="245" w:type="pct"/>
            <w:tcMar>
              <w:left w:w="28" w:type="dxa"/>
              <w:right w:w="28" w:type="dxa"/>
            </w:tcMar>
          </w:tcPr>
          <w:p w14:paraId="04C80E90" w14:textId="77777777" w:rsidR="00BB0CAC" w:rsidRPr="00825723" w:rsidRDefault="00BB0CAC" w:rsidP="000676D8">
            <w:pPr>
              <w:pStyle w:val="TableText"/>
              <w:jc w:val="center"/>
            </w:pPr>
          </w:p>
        </w:tc>
        <w:tc>
          <w:tcPr>
            <w:tcW w:w="246" w:type="pct"/>
            <w:tcMar>
              <w:left w:w="28" w:type="dxa"/>
              <w:right w:w="28" w:type="dxa"/>
            </w:tcMar>
          </w:tcPr>
          <w:p w14:paraId="09E3643C" w14:textId="77777777" w:rsidR="00BB0CAC" w:rsidRPr="00825723" w:rsidRDefault="00BB0CAC" w:rsidP="000676D8">
            <w:pPr>
              <w:pStyle w:val="TableText"/>
              <w:jc w:val="center"/>
            </w:pPr>
            <w:r w:rsidRPr="00E07D02">
              <w:rPr>
                <w:rFonts w:ascii="Wingdings" w:hAnsi="Wingdings"/>
              </w:rPr>
              <w:t></w:t>
            </w:r>
          </w:p>
        </w:tc>
        <w:tc>
          <w:tcPr>
            <w:tcW w:w="342" w:type="pct"/>
            <w:tcMar>
              <w:left w:w="28" w:type="dxa"/>
              <w:right w:w="28" w:type="dxa"/>
            </w:tcMar>
          </w:tcPr>
          <w:p w14:paraId="738914EE" w14:textId="77777777" w:rsidR="00BB0CAC" w:rsidRPr="00825723" w:rsidRDefault="00BB0CAC" w:rsidP="000676D8">
            <w:pPr>
              <w:pStyle w:val="TableText"/>
              <w:jc w:val="center"/>
            </w:pPr>
          </w:p>
        </w:tc>
      </w:tr>
      <w:tr w:rsidR="00BB0CAC" w:rsidRPr="00844BF8" w14:paraId="4AA50569" w14:textId="77777777" w:rsidTr="008C1748">
        <w:tc>
          <w:tcPr>
            <w:tcW w:w="883" w:type="pct"/>
          </w:tcPr>
          <w:p w14:paraId="0A04D210" w14:textId="77777777" w:rsidR="00BB0CAC" w:rsidRPr="00EA0576" w:rsidRDefault="00BB0CAC" w:rsidP="008C1748">
            <w:pPr>
              <w:pStyle w:val="TableText"/>
              <w:pageBreakBefore/>
              <w:spacing w:before="40" w:after="40"/>
              <w:rPr>
                <w:spacing w:val="-3"/>
              </w:rPr>
            </w:pPr>
            <w:r>
              <w:rPr>
                <w:spacing w:val="-3"/>
              </w:rPr>
              <w:lastRenderedPageBreak/>
              <w:t>Plain clothes allowances</w:t>
            </w:r>
          </w:p>
        </w:tc>
        <w:tc>
          <w:tcPr>
            <w:tcW w:w="567" w:type="pct"/>
          </w:tcPr>
          <w:p w14:paraId="75FB604A" w14:textId="77777777" w:rsidR="00BB0CAC" w:rsidRPr="00A96323" w:rsidRDefault="00BB0CAC" w:rsidP="008C1748">
            <w:pPr>
              <w:pStyle w:val="TableText"/>
              <w:spacing w:before="40" w:after="40"/>
              <w:rPr>
                <w:rFonts w:cs="Arial"/>
                <w:i/>
                <w:szCs w:val="22"/>
              </w:rPr>
            </w:pPr>
            <w:r w:rsidRPr="00A96323">
              <w:rPr>
                <w:rFonts w:cs="Arial"/>
                <w:i/>
                <w:szCs w:val="22"/>
              </w:rPr>
              <w:t>Section CW 17CC</w:t>
            </w:r>
          </w:p>
          <w:p w14:paraId="47A9E4BA" w14:textId="77777777" w:rsidR="00BB0CAC" w:rsidRPr="00A96323" w:rsidRDefault="00BB0CAC" w:rsidP="008C1748">
            <w:pPr>
              <w:pStyle w:val="TableText"/>
              <w:spacing w:before="40" w:after="40"/>
              <w:rPr>
                <w:rFonts w:cs="Arial"/>
                <w:i/>
                <w:szCs w:val="22"/>
              </w:rPr>
            </w:pPr>
            <w:r w:rsidRPr="00A96323">
              <w:rPr>
                <w:rFonts w:cs="Arial"/>
                <w:i/>
                <w:szCs w:val="22"/>
              </w:rPr>
              <w:t>-Exemption</w:t>
            </w:r>
          </w:p>
        </w:tc>
        <w:tc>
          <w:tcPr>
            <w:tcW w:w="1015" w:type="pct"/>
          </w:tcPr>
          <w:p w14:paraId="5BB8987F" w14:textId="77777777" w:rsidR="00BB0CAC" w:rsidRDefault="00BB0CAC" w:rsidP="008C1748">
            <w:pPr>
              <w:pStyle w:val="TableText"/>
              <w:spacing w:before="40" w:after="40"/>
              <w:rPr>
                <w:rFonts w:cs="Arial"/>
                <w:szCs w:val="16"/>
              </w:rPr>
            </w:pPr>
            <w:r>
              <w:rPr>
                <w:rFonts w:cs="Arial"/>
                <w:szCs w:val="16"/>
              </w:rPr>
              <w:t xml:space="preserve">In very limited circumstances a plain clothes allowance paid to an employee who is also provided with a uniform can be tax exempt.  </w:t>
            </w:r>
          </w:p>
        </w:tc>
        <w:tc>
          <w:tcPr>
            <w:tcW w:w="1015" w:type="pct"/>
          </w:tcPr>
          <w:p w14:paraId="53BF33AD" w14:textId="77777777" w:rsidR="00BB0CAC" w:rsidRPr="00C253BC" w:rsidRDefault="00BB0CAC" w:rsidP="008C1748">
            <w:pPr>
              <w:pStyle w:val="TableText"/>
              <w:spacing w:before="40" w:after="40"/>
              <w:rPr>
                <w:rFonts w:cs="Arial"/>
              </w:rPr>
            </w:pPr>
            <w:r w:rsidRPr="00C253BC">
              <w:rPr>
                <w:rFonts w:cs="Arial"/>
                <w:color w:val="000000"/>
              </w:rPr>
              <w:t>To reduce compliance costs.</w:t>
            </w:r>
          </w:p>
        </w:tc>
        <w:tc>
          <w:tcPr>
            <w:tcW w:w="196" w:type="pct"/>
            <w:tcMar>
              <w:left w:w="28" w:type="dxa"/>
              <w:right w:w="28" w:type="dxa"/>
            </w:tcMar>
          </w:tcPr>
          <w:p w14:paraId="692E5122" w14:textId="77777777" w:rsidR="00BB0CAC" w:rsidRPr="00E07D02" w:rsidRDefault="00BB0CAC" w:rsidP="008C1748">
            <w:pPr>
              <w:pStyle w:val="TableText"/>
              <w:spacing w:before="40" w:after="40"/>
              <w:jc w:val="center"/>
              <w:rPr>
                <w:rFonts w:ascii="Wingdings" w:hAnsi="Wingdings"/>
              </w:rPr>
            </w:pPr>
          </w:p>
        </w:tc>
        <w:tc>
          <w:tcPr>
            <w:tcW w:w="294" w:type="pct"/>
            <w:tcMar>
              <w:left w:w="28" w:type="dxa"/>
              <w:right w:w="28" w:type="dxa"/>
            </w:tcMar>
          </w:tcPr>
          <w:p w14:paraId="30EB64A9" w14:textId="77777777" w:rsidR="00BB0CAC" w:rsidRPr="00825723" w:rsidRDefault="00BB0CAC" w:rsidP="008C1748">
            <w:pPr>
              <w:pStyle w:val="TableText"/>
              <w:spacing w:before="40" w:after="40"/>
              <w:jc w:val="center"/>
            </w:pPr>
          </w:p>
        </w:tc>
        <w:tc>
          <w:tcPr>
            <w:tcW w:w="197" w:type="pct"/>
            <w:tcMar>
              <w:left w:w="28" w:type="dxa"/>
              <w:right w:w="28" w:type="dxa"/>
            </w:tcMar>
          </w:tcPr>
          <w:p w14:paraId="51818308" w14:textId="77777777" w:rsidR="00BB0CAC" w:rsidRPr="00825723" w:rsidRDefault="00BB0CAC" w:rsidP="008C1748">
            <w:pPr>
              <w:pStyle w:val="TableText"/>
              <w:spacing w:before="40" w:after="40"/>
              <w:jc w:val="center"/>
            </w:pPr>
            <w:r w:rsidRPr="00E07D02">
              <w:rPr>
                <w:rFonts w:ascii="Wingdings" w:hAnsi="Wingdings"/>
              </w:rPr>
              <w:t></w:t>
            </w:r>
          </w:p>
        </w:tc>
        <w:tc>
          <w:tcPr>
            <w:tcW w:w="245" w:type="pct"/>
            <w:tcMar>
              <w:left w:w="28" w:type="dxa"/>
              <w:right w:w="28" w:type="dxa"/>
            </w:tcMar>
          </w:tcPr>
          <w:p w14:paraId="708CA95D" w14:textId="77777777" w:rsidR="00BB0CAC" w:rsidRPr="00825723" w:rsidRDefault="00BB0CAC" w:rsidP="008C1748">
            <w:pPr>
              <w:pStyle w:val="TableText"/>
              <w:spacing w:before="40" w:after="40"/>
              <w:jc w:val="center"/>
            </w:pPr>
          </w:p>
        </w:tc>
        <w:tc>
          <w:tcPr>
            <w:tcW w:w="246" w:type="pct"/>
            <w:tcMar>
              <w:left w:w="28" w:type="dxa"/>
              <w:right w:w="28" w:type="dxa"/>
            </w:tcMar>
          </w:tcPr>
          <w:p w14:paraId="5F4A3E5C" w14:textId="77777777" w:rsidR="00BB0CAC" w:rsidRPr="00825723" w:rsidRDefault="00BB0CAC" w:rsidP="008C1748">
            <w:pPr>
              <w:pStyle w:val="TableText"/>
              <w:spacing w:before="40" w:after="40"/>
              <w:jc w:val="center"/>
            </w:pPr>
          </w:p>
        </w:tc>
        <w:tc>
          <w:tcPr>
            <w:tcW w:w="342" w:type="pct"/>
            <w:tcMar>
              <w:left w:w="28" w:type="dxa"/>
              <w:right w:w="28" w:type="dxa"/>
            </w:tcMar>
          </w:tcPr>
          <w:p w14:paraId="3E4726B7" w14:textId="77777777" w:rsidR="00BB0CAC" w:rsidRPr="00E07D02" w:rsidRDefault="00BB0CAC" w:rsidP="008C1748">
            <w:pPr>
              <w:pStyle w:val="TableText"/>
              <w:spacing w:before="40" w:after="40"/>
              <w:jc w:val="center"/>
              <w:rPr>
                <w:rFonts w:ascii="Wingdings" w:hAnsi="Wingdings"/>
              </w:rPr>
            </w:pPr>
            <w:r w:rsidRPr="00E07D02">
              <w:rPr>
                <w:rFonts w:ascii="Wingdings" w:hAnsi="Wingdings"/>
              </w:rPr>
              <w:t></w:t>
            </w:r>
          </w:p>
        </w:tc>
      </w:tr>
      <w:tr w:rsidR="00BB0CAC" w:rsidRPr="00844BF8" w14:paraId="78F4FDD2" w14:textId="77777777" w:rsidTr="008C1748">
        <w:tc>
          <w:tcPr>
            <w:tcW w:w="883" w:type="pct"/>
          </w:tcPr>
          <w:p w14:paraId="37CD5933" w14:textId="77777777" w:rsidR="00BB0CAC" w:rsidRPr="00EA0576" w:rsidRDefault="00BB0CAC" w:rsidP="008C1748">
            <w:pPr>
              <w:pStyle w:val="TableText"/>
              <w:spacing w:before="40" w:after="40"/>
              <w:rPr>
                <w:spacing w:val="-3"/>
              </w:rPr>
            </w:pPr>
            <w:r>
              <w:rPr>
                <w:spacing w:val="-3"/>
              </w:rPr>
              <w:t>Research and Development – cashing out tax losses</w:t>
            </w:r>
          </w:p>
        </w:tc>
        <w:tc>
          <w:tcPr>
            <w:tcW w:w="567" w:type="pct"/>
          </w:tcPr>
          <w:p w14:paraId="5BE3BB03" w14:textId="77777777" w:rsidR="00BB0CAC" w:rsidRPr="00A96323" w:rsidRDefault="00BB0CAC" w:rsidP="008C1748">
            <w:pPr>
              <w:pStyle w:val="TableText"/>
              <w:spacing w:before="40" w:after="40"/>
              <w:rPr>
                <w:rFonts w:cs="Arial"/>
                <w:i/>
                <w:szCs w:val="22"/>
              </w:rPr>
            </w:pPr>
            <w:r w:rsidRPr="00A96323">
              <w:rPr>
                <w:rFonts w:cs="Arial"/>
                <w:i/>
                <w:szCs w:val="22"/>
              </w:rPr>
              <w:t>Subpart MX</w:t>
            </w:r>
          </w:p>
          <w:p w14:paraId="4A8A58DA" w14:textId="77777777" w:rsidR="00BB0CAC" w:rsidRPr="00A96323" w:rsidRDefault="00BB0CAC" w:rsidP="008C1748">
            <w:pPr>
              <w:pStyle w:val="TableText"/>
              <w:spacing w:before="40" w:after="40"/>
              <w:rPr>
                <w:rFonts w:cs="Arial"/>
                <w:i/>
                <w:szCs w:val="22"/>
              </w:rPr>
            </w:pPr>
            <w:r w:rsidRPr="00A96323">
              <w:rPr>
                <w:rFonts w:cs="Arial"/>
                <w:i/>
                <w:szCs w:val="22"/>
              </w:rPr>
              <w:t>-Cash-out of losses</w:t>
            </w:r>
          </w:p>
        </w:tc>
        <w:tc>
          <w:tcPr>
            <w:tcW w:w="1015" w:type="pct"/>
          </w:tcPr>
          <w:p w14:paraId="387F7937" w14:textId="77777777" w:rsidR="00BB0CAC" w:rsidRPr="00CD766A" w:rsidRDefault="00BB0CAC" w:rsidP="008C1748">
            <w:pPr>
              <w:pStyle w:val="TableText"/>
              <w:spacing w:before="40" w:after="40"/>
              <w:rPr>
                <w:rFonts w:cs="Arial"/>
                <w:szCs w:val="16"/>
              </w:rPr>
            </w:pPr>
            <w:r>
              <w:rPr>
                <w:rFonts w:cs="Arial"/>
                <w:szCs w:val="16"/>
              </w:rPr>
              <w:t xml:space="preserve">In qualifying circumstances a company that conducts research and development and incurs tax losses may cash out the tax value of the research and development part of the tax losses.  This is repayable against future profits, or in certain other circumstances.  </w:t>
            </w:r>
          </w:p>
        </w:tc>
        <w:tc>
          <w:tcPr>
            <w:tcW w:w="1015" w:type="pct"/>
          </w:tcPr>
          <w:p w14:paraId="0D59FA8A" w14:textId="77777777" w:rsidR="00BB0CAC" w:rsidRPr="00C253BC" w:rsidRDefault="00BB0CAC" w:rsidP="008C1748">
            <w:pPr>
              <w:pStyle w:val="TableText"/>
              <w:spacing w:before="40" w:after="40"/>
              <w:rPr>
                <w:rFonts w:cs="Arial"/>
                <w:color w:val="000000"/>
                <w:szCs w:val="16"/>
                <w:lang w:eastAsia="en-NZ"/>
              </w:rPr>
            </w:pPr>
            <w:r>
              <w:rPr>
                <w:rFonts w:cs="Arial"/>
                <w:color w:val="000000"/>
                <w:szCs w:val="16"/>
                <w:lang w:eastAsia="en-NZ"/>
              </w:rPr>
              <w:t>To r</w:t>
            </w:r>
            <w:r w:rsidRPr="00C253BC">
              <w:rPr>
                <w:rFonts w:cs="Arial"/>
                <w:color w:val="000000"/>
                <w:szCs w:val="16"/>
                <w:lang w:eastAsia="en-NZ"/>
              </w:rPr>
              <w:t>educe bias against investment in R&amp;D start-ups arising from the current treatment of tax losses.</w:t>
            </w:r>
          </w:p>
          <w:p w14:paraId="4FED4584" w14:textId="77777777" w:rsidR="00BB0CAC" w:rsidRPr="00C253BC" w:rsidRDefault="00BB0CAC" w:rsidP="008C1748">
            <w:pPr>
              <w:pStyle w:val="TableText"/>
              <w:spacing w:before="40" w:after="40"/>
              <w:rPr>
                <w:rFonts w:cs="Arial"/>
              </w:rPr>
            </w:pPr>
          </w:p>
        </w:tc>
        <w:tc>
          <w:tcPr>
            <w:tcW w:w="196" w:type="pct"/>
            <w:tcMar>
              <w:left w:w="28" w:type="dxa"/>
              <w:right w:w="28" w:type="dxa"/>
            </w:tcMar>
          </w:tcPr>
          <w:p w14:paraId="5C90BA6F" w14:textId="77777777" w:rsidR="00BB0CAC" w:rsidRPr="00E07D02" w:rsidRDefault="00BB0CAC" w:rsidP="008C1748">
            <w:pPr>
              <w:pStyle w:val="TableText"/>
              <w:spacing w:before="40" w:after="40"/>
              <w:jc w:val="center"/>
              <w:rPr>
                <w:rFonts w:ascii="Wingdings" w:hAnsi="Wingdings"/>
              </w:rPr>
            </w:pPr>
          </w:p>
        </w:tc>
        <w:tc>
          <w:tcPr>
            <w:tcW w:w="294" w:type="pct"/>
            <w:tcMar>
              <w:left w:w="28" w:type="dxa"/>
              <w:right w:w="28" w:type="dxa"/>
            </w:tcMar>
          </w:tcPr>
          <w:p w14:paraId="374D1A3A" w14:textId="77777777" w:rsidR="00BB0CAC" w:rsidRPr="00825723" w:rsidRDefault="00BB0CAC" w:rsidP="008C1748">
            <w:pPr>
              <w:pStyle w:val="TableText"/>
              <w:spacing w:before="40" w:after="40"/>
              <w:jc w:val="center"/>
            </w:pPr>
            <w:r w:rsidRPr="00E07D02">
              <w:rPr>
                <w:rFonts w:ascii="Wingdings" w:hAnsi="Wingdings"/>
              </w:rPr>
              <w:t></w:t>
            </w:r>
          </w:p>
        </w:tc>
        <w:tc>
          <w:tcPr>
            <w:tcW w:w="197" w:type="pct"/>
            <w:tcMar>
              <w:left w:w="28" w:type="dxa"/>
              <w:right w:w="28" w:type="dxa"/>
            </w:tcMar>
          </w:tcPr>
          <w:p w14:paraId="23F3FE1C" w14:textId="77777777" w:rsidR="00BB0CAC" w:rsidRPr="00825723" w:rsidRDefault="00BB0CAC" w:rsidP="008C1748">
            <w:pPr>
              <w:pStyle w:val="TableText"/>
              <w:spacing w:before="40" w:after="40"/>
              <w:jc w:val="center"/>
            </w:pPr>
          </w:p>
        </w:tc>
        <w:tc>
          <w:tcPr>
            <w:tcW w:w="245" w:type="pct"/>
            <w:tcMar>
              <w:left w:w="28" w:type="dxa"/>
              <w:right w:w="28" w:type="dxa"/>
            </w:tcMar>
          </w:tcPr>
          <w:p w14:paraId="6268463F" w14:textId="77777777" w:rsidR="00BB0CAC" w:rsidRPr="00825723" w:rsidRDefault="00BB0CAC" w:rsidP="008C1748">
            <w:pPr>
              <w:pStyle w:val="TableText"/>
              <w:spacing w:before="40" w:after="40"/>
              <w:jc w:val="center"/>
            </w:pPr>
          </w:p>
        </w:tc>
        <w:tc>
          <w:tcPr>
            <w:tcW w:w="246" w:type="pct"/>
            <w:tcMar>
              <w:left w:w="28" w:type="dxa"/>
              <w:right w:w="28" w:type="dxa"/>
            </w:tcMar>
          </w:tcPr>
          <w:p w14:paraId="555BC311" w14:textId="77777777" w:rsidR="00BB0CAC" w:rsidRPr="00825723" w:rsidRDefault="00BB0CAC" w:rsidP="008C1748">
            <w:pPr>
              <w:pStyle w:val="TableText"/>
              <w:spacing w:before="40" w:after="40"/>
              <w:jc w:val="center"/>
            </w:pPr>
            <w:r w:rsidRPr="00E07D02">
              <w:rPr>
                <w:rFonts w:ascii="Wingdings" w:hAnsi="Wingdings"/>
              </w:rPr>
              <w:t></w:t>
            </w:r>
          </w:p>
        </w:tc>
        <w:tc>
          <w:tcPr>
            <w:tcW w:w="342" w:type="pct"/>
            <w:tcMar>
              <w:left w:w="28" w:type="dxa"/>
              <w:right w:w="28" w:type="dxa"/>
            </w:tcMar>
          </w:tcPr>
          <w:p w14:paraId="3C573765" w14:textId="77777777" w:rsidR="00BB0CAC" w:rsidRPr="00E07D02" w:rsidRDefault="00BB0CAC" w:rsidP="008C1748">
            <w:pPr>
              <w:pStyle w:val="TableText"/>
              <w:spacing w:before="40" w:after="40"/>
              <w:jc w:val="center"/>
              <w:rPr>
                <w:rFonts w:ascii="Wingdings" w:hAnsi="Wingdings"/>
              </w:rPr>
            </w:pPr>
          </w:p>
        </w:tc>
      </w:tr>
      <w:tr w:rsidR="00BB0CAC" w:rsidRPr="00844BF8" w14:paraId="6BB1DE83" w14:textId="77777777" w:rsidTr="008C1748">
        <w:tc>
          <w:tcPr>
            <w:tcW w:w="883" w:type="pct"/>
          </w:tcPr>
          <w:p w14:paraId="69BA6336" w14:textId="77777777" w:rsidR="00BB0CAC" w:rsidRPr="00EA0576" w:rsidRDefault="00BB0CAC" w:rsidP="008C1748">
            <w:pPr>
              <w:pStyle w:val="TableText"/>
              <w:spacing w:before="40" w:after="40"/>
              <w:rPr>
                <w:spacing w:val="-3"/>
              </w:rPr>
            </w:pPr>
            <w:r w:rsidRPr="00EA0576">
              <w:rPr>
                <w:spacing w:val="-3"/>
              </w:rPr>
              <w:t>Scholarships and bursaries: exempt income</w:t>
            </w:r>
          </w:p>
        </w:tc>
        <w:tc>
          <w:tcPr>
            <w:tcW w:w="567" w:type="pct"/>
          </w:tcPr>
          <w:p w14:paraId="2E7D0D9F" w14:textId="77777777" w:rsidR="00BB0CAC" w:rsidRPr="00A96323" w:rsidRDefault="00BB0CAC" w:rsidP="008C1748">
            <w:pPr>
              <w:pStyle w:val="TableText"/>
              <w:spacing w:before="40" w:after="40"/>
              <w:rPr>
                <w:rFonts w:cs="Arial"/>
                <w:i/>
                <w:szCs w:val="22"/>
              </w:rPr>
            </w:pPr>
            <w:r w:rsidRPr="00A96323">
              <w:rPr>
                <w:rFonts w:cs="Arial"/>
                <w:i/>
                <w:szCs w:val="22"/>
              </w:rPr>
              <w:t>Section CW 36</w:t>
            </w:r>
          </w:p>
          <w:p w14:paraId="0E806209" w14:textId="77777777" w:rsidR="00BB0CAC" w:rsidRPr="00A96323" w:rsidRDefault="00BB0CAC" w:rsidP="008C1748">
            <w:pPr>
              <w:pStyle w:val="TableText"/>
              <w:spacing w:before="40" w:after="40"/>
              <w:rPr>
                <w:i/>
              </w:rPr>
            </w:pPr>
            <w:r w:rsidRPr="00A96323">
              <w:rPr>
                <w:rFonts w:cs="Arial"/>
                <w:i/>
                <w:szCs w:val="22"/>
              </w:rPr>
              <w:t>-Exemption</w:t>
            </w:r>
          </w:p>
        </w:tc>
        <w:tc>
          <w:tcPr>
            <w:tcW w:w="1015" w:type="pct"/>
          </w:tcPr>
          <w:p w14:paraId="6E3D9B81" w14:textId="77777777" w:rsidR="00BB0CAC" w:rsidRDefault="00BB0CAC" w:rsidP="008C1748">
            <w:pPr>
              <w:pStyle w:val="TableText"/>
              <w:spacing w:before="40" w:after="40"/>
              <w:rPr>
                <w:rFonts w:cs="Arial"/>
                <w:szCs w:val="16"/>
              </w:rPr>
            </w:pPr>
            <w:r w:rsidRPr="00CD766A">
              <w:rPr>
                <w:rFonts w:cs="Arial"/>
                <w:szCs w:val="16"/>
              </w:rPr>
              <w:t xml:space="preserve">Any scholarship or bursary payment for attendance at an educational institution is exempt income, except for a basic grant or an independent circumstances grant under the </w:t>
            </w:r>
            <w:r w:rsidRPr="00CD766A">
              <w:rPr>
                <w:rFonts w:cs="Arial"/>
                <w:i/>
                <w:szCs w:val="16"/>
              </w:rPr>
              <w:t>Education Act 1989</w:t>
            </w:r>
            <w:r w:rsidRPr="00CD766A">
              <w:rPr>
                <w:rFonts w:cs="Arial"/>
                <w:szCs w:val="16"/>
              </w:rPr>
              <w:t>.</w:t>
            </w:r>
          </w:p>
        </w:tc>
        <w:tc>
          <w:tcPr>
            <w:tcW w:w="1015" w:type="pct"/>
          </w:tcPr>
          <w:p w14:paraId="4C839275" w14:textId="77777777" w:rsidR="00BB0CAC" w:rsidRPr="00C253BC" w:rsidRDefault="00BB0CAC" w:rsidP="008C1748">
            <w:pPr>
              <w:pStyle w:val="TableText"/>
              <w:spacing w:before="40" w:after="40"/>
              <w:rPr>
                <w:rFonts w:cs="Arial"/>
                <w:color w:val="000000"/>
                <w:szCs w:val="16"/>
                <w:lang w:eastAsia="en-NZ"/>
              </w:rPr>
            </w:pPr>
            <w:r w:rsidRPr="00C253BC">
              <w:rPr>
                <w:rFonts w:cs="Arial"/>
                <w:color w:val="000000"/>
                <w:szCs w:val="16"/>
                <w:lang w:eastAsia="en-NZ"/>
              </w:rPr>
              <w:t>To assist education development.</w:t>
            </w:r>
          </w:p>
          <w:p w14:paraId="6E96703D" w14:textId="77777777" w:rsidR="00BB0CAC" w:rsidRPr="00C253BC" w:rsidRDefault="00BB0CAC" w:rsidP="008C1748">
            <w:pPr>
              <w:pStyle w:val="TableText"/>
              <w:spacing w:before="40" w:after="40"/>
              <w:rPr>
                <w:rFonts w:cs="Arial"/>
              </w:rPr>
            </w:pPr>
          </w:p>
        </w:tc>
        <w:tc>
          <w:tcPr>
            <w:tcW w:w="196" w:type="pct"/>
            <w:tcMar>
              <w:left w:w="28" w:type="dxa"/>
              <w:right w:w="28" w:type="dxa"/>
            </w:tcMar>
          </w:tcPr>
          <w:p w14:paraId="1C5CB6EB" w14:textId="77777777" w:rsidR="00BB0CAC" w:rsidRPr="00825723" w:rsidRDefault="00BB0CAC" w:rsidP="008C1748">
            <w:pPr>
              <w:pStyle w:val="TableText"/>
              <w:spacing w:before="40" w:after="40"/>
              <w:jc w:val="center"/>
            </w:pPr>
            <w:r w:rsidRPr="00E07D02">
              <w:rPr>
                <w:rFonts w:ascii="Wingdings" w:hAnsi="Wingdings"/>
              </w:rPr>
              <w:t></w:t>
            </w:r>
          </w:p>
        </w:tc>
        <w:tc>
          <w:tcPr>
            <w:tcW w:w="294" w:type="pct"/>
            <w:tcMar>
              <w:left w:w="28" w:type="dxa"/>
              <w:right w:w="28" w:type="dxa"/>
            </w:tcMar>
          </w:tcPr>
          <w:p w14:paraId="2BE2186F" w14:textId="77777777" w:rsidR="00BB0CAC" w:rsidRPr="00825723" w:rsidRDefault="00BB0CAC" w:rsidP="008C1748">
            <w:pPr>
              <w:pStyle w:val="TableText"/>
              <w:spacing w:before="40" w:after="40"/>
              <w:jc w:val="center"/>
            </w:pPr>
          </w:p>
        </w:tc>
        <w:tc>
          <w:tcPr>
            <w:tcW w:w="197" w:type="pct"/>
            <w:tcMar>
              <w:left w:w="28" w:type="dxa"/>
              <w:right w:w="28" w:type="dxa"/>
            </w:tcMar>
          </w:tcPr>
          <w:p w14:paraId="1BD0239B" w14:textId="77777777" w:rsidR="00BB0CAC" w:rsidRPr="00825723" w:rsidRDefault="00BB0CAC" w:rsidP="008C1748">
            <w:pPr>
              <w:pStyle w:val="TableText"/>
              <w:spacing w:before="40" w:after="40"/>
              <w:jc w:val="center"/>
            </w:pPr>
          </w:p>
        </w:tc>
        <w:tc>
          <w:tcPr>
            <w:tcW w:w="245" w:type="pct"/>
            <w:tcMar>
              <w:left w:w="28" w:type="dxa"/>
              <w:right w:w="28" w:type="dxa"/>
            </w:tcMar>
          </w:tcPr>
          <w:p w14:paraId="1AF2BD83" w14:textId="77777777" w:rsidR="00BB0CAC" w:rsidRPr="00825723" w:rsidRDefault="00BB0CAC" w:rsidP="008C1748">
            <w:pPr>
              <w:pStyle w:val="TableText"/>
              <w:spacing w:before="40" w:after="40"/>
              <w:jc w:val="center"/>
            </w:pPr>
          </w:p>
        </w:tc>
        <w:tc>
          <w:tcPr>
            <w:tcW w:w="246" w:type="pct"/>
            <w:tcMar>
              <w:left w:w="28" w:type="dxa"/>
              <w:right w:w="28" w:type="dxa"/>
            </w:tcMar>
          </w:tcPr>
          <w:p w14:paraId="6D5D1A03" w14:textId="77777777" w:rsidR="00BB0CAC" w:rsidRPr="00825723" w:rsidRDefault="00BB0CAC" w:rsidP="008C1748">
            <w:pPr>
              <w:pStyle w:val="TableText"/>
              <w:spacing w:before="40" w:after="40"/>
              <w:jc w:val="center"/>
            </w:pPr>
          </w:p>
        </w:tc>
        <w:tc>
          <w:tcPr>
            <w:tcW w:w="342" w:type="pct"/>
            <w:tcMar>
              <w:left w:w="28" w:type="dxa"/>
              <w:right w:w="28" w:type="dxa"/>
            </w:tcMar>
          </w:tcPr>
          <w:p w14:paraId="27BBD39C" w14:textId="77777777" w:rsidR="00BB0CAC" w:rsidRPr="00825723" w:rsidRDefault="00BB0CAC" w:rsidP="008C1748">
            <w:pPr>
              <w:pStyle w:val="TableText"/>
              <w:spacing w:before="40" w:after="40"/>
              <w:jc w:val="center"/>
            </w:pPr>
            <w:r w:rsidRPr="00E07D02">
              <w:rPr>
                <w:rFonts w:ascii="Wingdings" w:hAnsi="Wingdings"/>
              </w:rPr>
              <w:t></w:t>
            </w:r>
          </w:p>
        </w:tc>
      </w:tr>
      <w:tr w:rsidR="00BB0CAC" w:rsidRPr="00844BF8" w14:paraId="2EC67712" w14:textId="77777777" w:rsidTr="008C1748">
        <w:tc>
          <w:tcPr>
            <w:tcW w:w="883" w:type="pct"/>
          </w:tcPr>
          <w:p w14:paraId="21B23570" w14:textId="77777777" w:rsidR="00BB0CAC" w:rsidRPr="00825723" w:rsidRDefault="00BB0CAC" w:rsidP="008C1748">
            <w:pPr>
              <w:pStyle w:val="TableText"/>
              <w:spacing w:before="40" w:after="40"/>
            </w:pPr>
            <w:r w:rsidRPr="00825723">
              <w:t>TAB and racing clubs: exempt income</w:t>
            </w:r>
          </w:p>
        </w:tc>
        <w:tc>
          <w:tcPr>
            <w:tcW w:w="567" w:type="pct"/>
          </w:tcPr>
          <w:p w14:paraId="4CB8C841" w14:textId="77777777" w:rsidR="00BB0CAC" w:rsidRPr="00A96323" w:rsidRDefault="00BB0CAC" w:rsidP="008C1748">
            <w:pPr>
              <w:pStyle w:val="TableText"/>
              <w:spacing w:before="40" w:after="40"/>
              <w:rPr>
                <w:rFonts w:cs="Arial"/>
                <w:i/>
                <w:szCs w:val="22"/>
              </w:rPr>
            </w:pPr>
            <w:r w:rsidRPr="00A96323">
              <w:rPr>
                <w:rFonts w:cs="Arial"/>
                <w:i/>
                <w:szCs w:val="22"/>
              </w:rPr>
              <w:t>Section CW 47</w:t>
            </w:r>
          </w:p>
          <w:p w14:paraId="67E732CA" w14:textId="77777777" w:rsidR="00BB0CAC" w:rsidRPr="00A96323" w:rsidRDefault="00BB0CAC" w:rsidP="008C1748">
            <w:pPr>
              <w:pStyle w:val="TableText"/>
              <w:spacing w:before="40" w:after="40"/>
              <w:rPr>
                <w:i/>
              </w:rPr>
            </w:pPr>
            <w:r w:rsidRPr="00A96323">
              <w:rPr>
                <w:rFonts w:cs="Arial"/>
                <w:i/>
                <w:szCs w:val="22"/>
              </w:rPr>
              <w:t>-Exemption</w:t>
            </w:r>
          </w:p>
        </w:tc>
        <w:tc>
          <w:tcPr>
            <w:tcW w:w="1015" w:type="pct"/>
          </w:tcPr>
          <w:p w14:paraId="2B944CAC" w14:textId="77777777" w:rsidR="00BB0CAC" w:rsidRDefault="00BB0CAC" w:rsidP="008C1748">
            <w:pPr>
              <w:pStyle w:val="TableText"/>
              <w:spacing w:before="40" w:after="40"/>
              <w:rPr>
                <w:rFonts w:cs="Arial"/>
                <w:szCs w:val="16"/>
              </w:rPr>
            </w:pPr>
            <w:r w:rsidRPr="00CD766A">
              <w:rPr>
                <w:rFonts w:cs="Arial"/>
                <w:szCs w:val="16"/>
              </w:rPr>
              <w:t>Income derived by the New Zealand Racing Board, New Zealand Thoroughbred Racing, Harness Racing New Zealand and the New</w:t>
            </w:r>
            <w:r>
              <w:rPr>
                <w:rFonts w:cs="Arial"/>
                <w:szCs w:val="16"/>
              </w:rPr>
              <w:t> </w:t>
            </w:r>
            <w:r w:rsidRPr="00CD766A">
              <w:rPr>
                <w:rFonts w:cs="Arial"/>
                <w:szCs w:val="16"/>
              </w:rPr>
              <w:t xml:space="preserve">Zealand Greyhound Racing Association is exempt income.  Note that betting turnover is separately taxed.  </w:t>
            </w:r>
          </w:p>
        </w:tc>
        <w:tc>
          <w:tcPr>
            <w:tcW w:w="1015" w:type="pct"/>
          </w:tcPr>
          <w:p w14:paraId="734E1B6D" w14:textId="77777777" w:rsidR="00BB0CAC" w:rsidRPr="00C253BC" w:rsidRDefault="00BB0CAC" w:rsidP="008C1748">
            <w:pPr>
              <w:pStyle w:val="TableText"/>
              <w:spacing w:before="40" w:after="40"/>
              <w:rPr>
                <w:rFonts w:cs="Arial"/>
                <w:color w:val="000000"/>
                <w:szCs w:val="16"/>
                <w:lang w:eastAsia="en-NZ"/>
              </w:rPr>
            </w:pPr>
            <w:r>
              <w:rPr>
                <w:rFonts w:cs="Arial"/>
                <w:color w:val="000000"/>
                <w:szCs w:val="16"/>
                <w:lang w:eastAsia="en-NZ"/>
              </w:rPr>
              <w:t>To reduce administrative costs owing to the small amount of receipts.</w:t>
            </w:r>
          </w:p>
          <w:p w14:paraId="167F269A" w14:textId="77777777" w:rsidR="00BB0CAC" w:rsidRPr="00C253BC" w:rsidRDefault="00BB0CAC" w:rsidP="008C1748">
            <w:pPr>
              <w:pStyle w:val="TableText"/>
              <w:spacing w:before="40" w:after="40"/>
              <w:rPr>
                <w:rFonts w:cs="Arial"/>
              </w:rPr>
            </w:pPr>
          </w:p>
        </w:tc>
        <w:tc>
          <w:tcPr>
            <w:tcW w:w="196" w:type="pct"/>
            <w:tcMar>
              <w:left w:w="28" w:type="dxa"/>
              <w:right w:w="28" w:type="dxa"/>
            </w:tcMar>
          </w:tcPr>
          <w:p w14:paraId="26F89B1E" w14:textId="77777777" w:rsidR="00BB0CAC" w:rsidRPr="00825723" w:rsidRDefault="00BB0CAC" w:rsidP="008C1748">
            <w:pPr>
              <w:pStyle w:val="TableText"/>
              <w:spacing w:before="40" w:after="40"/>
              <w:jc w:val="center"/>
            </w:pPr>
          </w:p>
        </w:tc>
        <w:tc>
          <w:tcPr>
            <w:tcW w:w="294" w:type="pct"/>
            <w:tcMar>
              <w:left w:w="28" w:type="dxa"/>
              <w:right w:w="28" w:type="dxa"/>
            </w:tcMar>
          </w:tcPr>
          <w:p w14:paraId="2A639814" w14:textId="77777777" w:rsidR="00BB0CAC" w:rsidRPr="00825723" w:rsidRDefault="00BB0CAC" w:rsidP="008C1748">
            <w:pPr>
              <w:pStyle w:val="TableText"/>
              <w:spacing w:before="40" w:after="40"/>
              <w:jc w:val="center"/>
            </w:pPr>
            <w:r w:rsidRPr="00E07D02">
              <w:rPr>
                <w:rFonts w:ascii="Wingdings" w:hAnsi="Wingdings"/>
              </w:rPr>
              <w:t></w:t>
            </w:r>
          </w:p>
        </w:tc>
        <w:tc>
          <w:tcPr>
            <w:tcW w:w="197" w:type="pct"/>
            <w:tcMar>
              <w:left w:w="28" w:type="dxa"/>
              <w:right w:w="28" w:type="dxa"/>
            </w:tcMar>
          </w:tcPr>
          <w:p w14:paraId="49CE0A5C" w14:textId="77777777" w:rsidR="00BB0CAC" w:rsidRPr="00825723" w:rsidRDefault="00BB0CAC" w:rsidP="008C1748">
            <w:pPr>
              <w:pStyle w:val="TableText"/>
              <w:spacing w:before="40" w:after="40"/>
              <w:jc w:val="center"/>
            </w:pPr>
          </w:p>
        </w:tc>
        <w:tc>
          <w:tcPr>
            <w:tcW w:w="245" w:type="pct"/>
            <w:tcMar>
              <w:left w:w="28" w:type="dxa"/>
              <w:right w:w="28" w:type="dxa"/>
            </w:tcMar>
          </w:tcPr>
          <w:p w14:paraId="00705620" w14:textId="77777777" w:rsidR="00BB0CAC" w:rsidRPr="00825723" w:rsidRDefault="00BB0CAC" w:rsidP="008C1748">
            <w:pPr>
              <w:pStyle w:val="TableText"/>
              <w:spacing w:before="40" w:after="40"/>
              <w:jc w:val="center"/>
            </w:pPr>
          </w:p>
        </w:tc>
        <w:tc>
          <w:tcPr>
            <w:tcW w:w="246" w:type="pct"/>
            <w:tcMar>
              <w:left w:w="28" w:type="dxa"/>
              <w:right w:w="28" w:type="dxa"/>
            </w:tcMar>
          </w:tcPr>
          <w:p w14:paraId="70A4AFE9" w14:textId="77777777" w:rsidR="00BB0CAC" w:rsidRPr="00825723" w:rsidRDefault="00BB0CAC" w:rsidP="008C1748">
            <w:pPr>
              <w:pStyle w:val="TableText"/>
              <w:spacing w:before="40" w:after="40"/>
              <w:jc w:val="center"/>
            </w:pPr>
          </w:p>
        </w:tc>
        <w:tc>
          <w:tcPr>
            <w:tcW w:w="342" w:type="pct"/>
            <w:tcMar>
              <w:left w:w="28" w:type="dxa"/>
              <w:right w:w="28" w:type="dxa"/>
            </w:tcMar>
          </w:tcPr>
          <w:p w14:paraId="78FD76E0" w14:textId="77777777" w:rsidR="00BB0CAC" w:rsidRPr="00825723" w:rsidRDefault="00BB0CAC" w:rsidP="008C1748">
            <w:pPr>
              <w:pStyle w:val="TableText"/>
              <w:spacing w:before="40" w:after="40"/>
              <w:jc w:val="center"/>
            </w:pPr>
            <w:r w:rsidRPr="00E07D02">
              <w:rPr>
                <w:rFonts w:ascii="Wingdings" w:hAnsi="Wingdings"/>
              </w:rPr>
              <w:t></w:t>
            </w:r>
          </w:p>
        </w:tc>
      </w:tr>
      <w:tr w:rsidR="00BB0CAC" w:rsidRPr="00844BF8" w14:paraId="2EF427C2" w14:textId="77777777" w:rsidTr="008C1748">
        <w:tc>
          <w:tcPr>
            <w:tcW w:w="883" w:type="pct"/>
          </w:tcPr>
          <w:p w14:paraId="0ED2C595" w14:textId="77777777" w:rsidR="00BB0CAC" w:rsidRPr="00825723" w:rsidRDefault="00BB0CAC" w:rsidP="008C1748">
            <w:pPr>
              <w:pStyle w:val="TableText"/>
              <w:spacing w:before="40" w:after="40"/>
            </w:pPr>
            <w:proofErr w:type="spellStart"/>
            <w:r>
              <w:t>Te</w:t>
            </w:r>
            <w:proofErr w:type="spellEnd"/>
            <w:r>
              <w:t xml:space="preserve"> Awa </w:t>
            </w:r>
            <w:proofErr w:type="spellStart"/>
            <w:r>
              <w:t>Tupua</w:t>
            </w:r>
            <w:proofErr w:type="spellEnd"/>
          </w:p>
        </w:tc>
        <w:tc>
          <w:tcPr>
            <w:tcW w:w="567" w:type="pct"/>
          </w:tcPr>
          <w:p w14:paraId="46F2A904" w14:textId="77777777" w:rsidR="00BB0CAC" w:rsidRPr="00A96323" w:rsidRDefault="00BB0CAC" w:rsidP="008C1748">
            <w:pPr>
              <w:pStyle w:val="TableText"/>
              <w:spacing w:before="40" w:after="40"/>
              <w:rPr>
                <w:rFonts w:cs="Arial"/>
                <w:i/>
                <w:szCs w:val="22"/>
              </w:rPr>
            </w:pPr>
            <w:r w:rsidRPr="00A96323">
              <w:rPr>
                <w:rFonts w:cs="Arial"/>
                <w:i/>
                <w:szCs w:val="22"/>
              </w:rPr>
              <w:t xml:space="preserve">Section CW 40C and the </w:t>
            </w:r>
            <w:proofErr w:type="spellStart"/>
            <w:r w:rsidRPr="00A96323">
              <w:rPr>
                <w:rFonts w:cs="Arial"/>
                <w:i/>
                <w:szCs w:val="22"/>
              </w:rPr>
              <w:t>Te</w:t>
            </w:r>
            <w:proofErr w:type="spellEnd"/>
            <w:r w:rsidRPr="00A96323">
              <w:rPr>
                <w:rFonts w:cs="Arial"/>
                <w:i/>
                <w:szCs w:val="22"/>
              </w:rPr>
              <w:t xml:space="preserve"> Awa </w:t>
            </w:r>
            <w:proofErr w:type="spellStart"/>
            <w:r w:rsidRPr="00A96323">
              <w:rPr>
                <w:rFonts w:cs="Arial"/>
                <w:i/>
                <w:szCs w:val="22"/>
              </w:rPr>
              <w:t>Tupoua</w:t>
            </w:r>
            <w:proofErr w:type="spellEnd"/>
            <w:r w:rsidRPr="00A96323">
              <w:rPr>
                <w:rFonts w:cs="Arial"/>
                <w:i/>
                <w:szCs w:val="22"/>
              </w:rPr>
              <w:t xml:space="preserve"> (Whanganui River Claims Settlement) Act 2017</w:t>
            </w:r>
          </w:p>
          <w:p w14:paraId="664AC7A8" w14:textId="77777777" w:rsidR="00BB0CAC" w:rsidRPr="00A96323" w:rsidRDefault="00BB0CAC" w:rsidP="008C1748">
            <w:pPr>
              <w:pStyle w:val="TableText"/>
              <w:spacing w:before="40" w:after="40"/>
              <w:rPr>
                <w:rFonts w:cs="Arial"/>
                <w:i/>
                <w:szCs w:val="22"/>
              </w:rPr>
            </w:pPr>
            <w:r w:rsidRPr="00A96323">
              <w:rPr>
                <w:rFonts w:cs="Arial"/>
                <w:i/>
                <w:szCs w:val="22"/>
              </w:rPr>
              <w:t>-Exemption</w:t>
            </w:r>
          </w:p>
        </w:tc>
        <w:tc>
          <w:tcPr>
            <w:tcW w:w="1015" w:type="pct"/>
          </w:tcPr>
          <w:p w14:paraId="5DDA63A0" w14:textId="77777777" w:rsidR="00BB0CAC" w:rsidRDefault="00BB0CAC" w:rsidP="008C1748">
            <w:pPr>
              <w:pStyle w:val="TableText"/>
              <w:spacing w:before="40" w:after="40"/>
              <w:rPr>
                <w:rFonts w:cs="Arial"/>
                <w:szCs w:val="16"/>
              </w:rPr>
            </w:pPr>
            <w:r>
              <w:rPr>
                <w:rFonts w:cs="Arial"/>
                <w:szCs w:val="16"/>
              </w:rPr>
              <w:t xml:space="preserve">Income received by </w:t>
            </w:r>
            <w:proofErr w:type="spellStart"/>
            <w:r>
              <w:rPr>
                <w:rFonts w:cs="Arial"/>
                <w:szCs w:val="16"/>
              </w:rPr>
              <w:t>Te</w:t>
            </w:r>
            <w:proofErr w:type="spellEnd"/>
            <w:r>
              <w:rPr>
                <w:rFonts w:cs="Arial"/>
                <w:szCs w:val="16"/>
              </w:rPr>
              <w:t xml:space="preserve"> Awa </w:t>
            </w:r>
            <w:proofErr w:type="spellStart"/>
            <w:r>
              <w:rPr>
                <w:rFonts w:cs="Arial"/>
                <w:szCs w:val="16"/>
              </w:rPr>
              <w:t>Tupua</w:t>
            </w:r>
            <w:proofErr w:type="spellEnd"/>
            <w:r>
              <w:rPr>
                <w:rFonts w:cs="Arial"/>
                <w:szCs w:val="16"/>
              </w:rPr>
              <w:t xml:space="preserve"> is exempt from income tax so long as it is applied for the purposes set out in the </w:t>
            </w:r>
            <w:proofErr w:type="spellStart"/>
            <w:r>
              <w:rPr>
                <w:rFonts w:cs="Arial"/>
                <w:szCs w:val="16"/>
              </w:rPr>
              <w:t>Te</w:t>
            </w:r>
            <w:proofErr w:type="spellEnd"/>
            <w:r>
              <w:rPr>
                <w:rFonts w:cs="Arial"/>
                <w:szCs w:val="16"/>
              </w:rPr>
              <w:t xml:space="preserve"> Awa </w:t>
            </w:r>
            <w:proofErr w:type="spellStart"/>
            <w:r>
              <w:rPr>
                <w:rFonts w:cs="Arial"/>
                <w:szCs w:val="16"/>
              </w:rPr>
              <w:t>Urewera</w:t>
            </w:r>
            <w:proofErr w:type="spellEnd"/>
            <w:r>
              <w:rPr>
                <w:rFonts w:cs="Arial"/>
                <w:szCs w:val="16"/>
              </w:rPr>
              <w:t xml:space="preserve"> Act 2014.</w:t>
            </w:r>
          </w:p>
        </w:tc>
        <w:tc>
          <w:tcPr>
            <w:tcW w:w="1015" w:type="pct"/>
          </w:tcPr>
          <w:p w14:paraId="1E2CEB09" w14:textId="37DBED36" w:rsidR="00BB0CAC" w:rsidRPr="00C253BC" w:rsidRDefault="00BB0CAC" w:rsidP="008C1748">
            <w:pPr>
              <w:pStyle w:val="TableText"/>
              <w:spacing w:before="40" w:after="40"/>
              <w:rPr>
                <w:rFonts w:cs="Arial"/>
              </w:rPr>
            </w:pPr>
            <w:r>
              <w:rPr>
                <w:rFonts w:cs="Arial"/>
                <w:color w:val="000000"/>
              </w:rPr>
              <w:t>Treaty of Waitangi settlement</w:t>
            </w:r>
            <w:r w:rsidR="000C5F94">
              <w:rPr>
                <w:rFonts w:cs="Arial"/>
                <w:color w:val="000000"/>
              </w:rPr>
              <w:t>.</w:t>
            </w:r>
          </w:p>
        </w:tc>
        <w:tc>
          <w:tcPr>
            <w:tcW w:w="196" w:type="pct"/>
            <w:tcMar>
              <w:left w:w="28" w:type="dxa"/>
              <w:right w:w="28" w:type="dxa"/>
            </w:tcMar>
          </w:tcPr>
          <w:p w14:paraId="3C41800D" w14:textId="77777777" w:rsidR="00BB0CAC" w:rsidRPr="00825723" w:rsidRDefault="00BB0CAC" w:rsidP="008C1748">
            <w:pPr>
              <w:pStyle w:val="TableText"/>
              <w:spacing w:before="40" w:after="40"/>
              <w:jc w:val="center"/>
            </w:pPr>
          </w:p>
        </w:tc>
        <w:tc>
          <w:tcPr>
            <w:tcW w:w="294" w:type="pct"/>
            <w:tcMar>
              <w:left w:w="28" w:type="dxa"/>
              <w:right w:w="28" w:type="dxa"/>
            </w:tcMar>
          </w:tcPr>
          <w:p w14:paraId="37DA4D03" w14:textId="77777777" w:rsidR="00BB0CAC" w:rsidRPr="00E07D02" w:rsidRDefault="00BB0CAC" w:rsidP="008C1748">
            <w:pPr>
              <w:pStyle w:val="TableText"/>
              <w:spacing w:before="40" w:after="40"/>
              <w:jc w:val="center"/>
              <w:rPr>
                <w:rFonts w:ascii="Wingdings" w:hAnsi="Wingdings"/>
              </w:rPr>
            </w:pPr>
          </w:p>
        </w:tc>
        <w:tc>
          <w:tcPr>
            <w:tcW w:w="197" w:type="pct"/>
            <w:tcMar>
              <w:left w:w="28" w:type="dxa"/>
              <w:right w:w="28" w:type="dxa"/>
            </w:tcMar>
          </w:tcPr>
          <w:p w14:paraId="4CC94135" w14:textId="77777777" w:rsidR="00BB0CAC" w:rsidRPr="00825723" w:rsidRDefault="00BB0CAC" w:rsidP="008C1748">
            <w:pPr>
              <w:pStyle w:val="TableText"/>
              <w:spacing w:before="40" w:after="40"/>
              <w:jc w:val="center"/>
            </w:pPr>
            <w:r w:rsidRPr="00E07D02">
              <w:rPr>
                <w:rFonts w:ascii="Wingdings" w:hAnsi="Wingdings"/>
              </w:rPr>
              <w:t></w:t>
            </w:r>
          </w:p>
        </w:tc>
        <w:tc>
          <w:tcPr>
            <w:tcW w:w="245" w:type="pct"/>
            <w:tcMar>
              <w:left w:w="28" w:type="dxa"/>
              <w:right w:w="28" w:type="dxa"/>
            </w:tcMar>
          </w:tcPr>
          <w:p w14:paraId="5FD77547" w14:textId="77777777" w:rsidR="00BB0CAC" w:rsidRPr="00825723" w:rsidRDefault="00BB0CAC" w:rsidP="008C1748">
            <w:pPr>
              <w:pStyle w:val="TableText"/>
              <w:spacing w:before="40" w:after="40"/>
              <w:jc w:val="center"/>
            </w:pPr>
          </w:p>
        </w:tc>
        <w:tc>
          <w:tcPr>
            <w:tcW w:w="246" w:type="pct"/>
            <w:tcMar>
              <w:left w:w="28" w:type="dxa"/>
              <w:right w:w="28" w:type="dxa"/>
            </w:tcMar>
          </w:tcPr>
          <w:p w14:paraId="67BB1BA1" w14:textId="77777777" w:rsidR="00BB0CAC" w:rsidRPr="00825723" w:rsidRDefault="00BB0CAC" w:rsidP="008C1748">
            <w:pPr>
              <w:pStyle w:val="TableText"/>
              <w:spacing w:before="40" w:after="40"/>
              <w:jc w:val="center"/>
            </w:pPr>
          </w:p>
        </w:tc>
        <w:tc>
          <w:tcPr>
            <w:tcW w:w="342" w:type="pct"/>
            <w:tcMar>
              <w:left w:w="28" w:type="dxa"/>
              <w:right w:w="28" w:type="dxa"/>
            </w:tcMar>
          </w:tcPr>
          <w:p w14:paraId="101FCC7A" w14:textId="77777777" w:rsidR="00BB0CAC" w:rsidRPr="00E07D02" w:rsidRDefault="00BB0CAC" w:rsidP="008C1748">
            <w:pPr>
              <w:pStyle w:val="TableText"/>
              <w:spacing w:before="40" w:after="40"/>
              <w:jc w:val="center"/>
              <w:rPr>
                <w:rFonts w:ascii="Wingdings" w:hAnsi="Wingdings"/>
              </w:rPr>
            </w:pPr>
            <w:r w:rsidRPr="00E07D02">
              <w:rPr>
                <w:rFonts w:ascii="Wingdings" w:hAnsi="Wingdings"/>
              </w:rPr>
              <w:t></w:t>
            </w:r>
          </w:p>
        </w:tc>
      </w:tr>
      <w:tr w:rsidR="00BB0CAC" w:rsidRPr="00844BF8" w14:paraId="31200408" w14:textId="77777777" w:rsidTr="008C1748">
        <w:tc>
          <w:tcPr>
            <w:tcW w:w="883" w:type="pct"/>
          </w:tcPr>
          <w:p w14:paraId="67A6033C" w14:textId="77777777" w:rsidR="00BB0CAC" w:rsidRDefault="00BB0CAC" w:rsidP="008C1748">
            <w:pPr>
              <w:pStyle w:val="TableText"/>
              <w:spacing w:before="40" w:after="40"/>
            </w:pPr>
            <w:proofErr w:type="spellStart"/>
            <w:r>
              <w:t>Te</w:t>
            </w:r>
            <w:proofErr w:type="spellEnd"/>
            <w:r>
              <w:t xml:space="preserve"> </w:t>
            </w:r>
            <w:proofErr w:type="spellStart"/>
            <w:r>
              <w:t>Urewera</w:t>
            </w:r>
            <w:proofErr w:type="spellEnd"/>
            <w:r>
              <w:t xml:space="preserve"> Board</w:t>
            </w:r>
          </w:p>
        </w:tc>
        <w:tc>
          <w:tcPr>
            <w:tcW w:w="567" w:type="pct"/>
          </w:tcPr>
          <w:p w14:paraId="66D6F2C1" w14:textId="77777777" w:rsidR="00BB0CAC" w:rsidRPr="00A96323" w:rsidRDefault="00BB0CAC" w:rsidP="008C1748">
            <w:pPr>
              <w:pStyle w:val="TableText"/>
              <w:spacing w:before="40" w:after="40"/>
              <w:rPr>
                <w:rFonts w:cs="Arial"/>
                <w:i/>
                <w:szCs w:val="22"/>
              </w:rPr>
            </w:pPr>
            <w:r w:rsidRPr="00A96323">
              <w:rPr>
                <w:rFonts w:cs="Arial"/>
                <w:i/>
                <w:szCs w:val="22"/>
              </w:rPr>
              <w:t xml:space="preserve">Section CW 40B and the </w:t>
            </w:r>
            <w:proofErr w:type="spellStart"/>
            <w:r w:rsidRPr="00A96323">
              <w:rPr>
                <w:rFonts w:cs="Arial"/>
                <w:i/>
                <w:szCs w:val="22"/>
              </w:rPr>
              <w:t>Te</w:t>
            </w:r>
            <w:proofErr w:type="spellEnd"/>
            <w:r w:rsidRPr="00A96323">
              <w:rPr>
                <w:rFonts w:cs="Arial"/>
                <w:i/>
                <w:szCs w:val="22"/>
              </w:rPr>
              <w:t xml:space="preserve"> </w:t>
            </w:r>
            <w:proofErr w:type="spellStart"/>
            <w:r w:rsidRPr="00A96323">
              <w:rPr>
                <w:rFonts w:cs="Arial"/>
                <w:i/>
                <w:szCs w:val="22"/>
              </w:rPr>
              <w:t>Urewera</w:t>
            </w:r>
            <w:proofErr w:type="spellEnd"/>
            <w:r w:rsidRPr="00A96323">
              <w:rPr>
                <w:rFonts w:cs="Arial"/>
                <w:i/>
                <w:szCs w:val="22"/>
              </w:rPr>
              <w:t xml:space="preserve"> Act 2014</w:t>
            </w:r>
          </w:p>
          <w:p w14:paraId="5F2BCDC6" w14:textId="77777777" w:rsidR="00BB0CAC" w:rsidRPr="00A96323" w:rsidRDefault="00BB0CAC" w:rsidP="008C1748">
            <w:pPr>
              <w:pStyle w:val="TableText"/>
              <w:spacing w:before="40" w:after="40"/>
              <w:rPr>
                <w:rFonts w:cs="Arial"/>
                <w:i/>
                <w:szCs w:val="22"/>
              </w:rPr>
            </w:pPr>
            <w:r w:rsidRPr="00A96323">
              <w:rPr>
                <w:rFonts w:cs="Arial"/>
                <w:i/>
                <w:szCs w:val="22"/>
              </w:rPr>
              <w:t>-Exemption</w:t>
            </w:r>
          </w:p>
        </w:tc>
        <w:tc>
          <w:tcPr>
            <w:tcW w:w="1015" w:type="pct"/>
          </w:tcPr>
          <w:p w14:paraId="2E8201D8" w14:textId="77777777" w:rsidR="00BB0CAC" w:rsidRDefault="00BB0CAC" w:rsidP="008C1748">
            <w:pPr>
              <w:pStyle w:val="TableText"/>
              <w:spacing w:before="40" w:after="40"/>
              <w:rPr>
                <w:rFonts w:cs="Arial"/>
                <w:szCs w:val="16"/>
              </w:rPr>
            </w:pPr>
            <w:r>
              <w:rPr>
                <w:rFonts w:cs="Arial"/>
                <w:szCs w:val="16"/>
              </w:rPr>
              <w:t xml:space="preserve">The Board’s income (generally from concessions) is exempt from tax so long as it is applied for the purposes set out in the </w:t>
            </w:r>
            <w:proofErr w:type="spellStart"/>
            <w:r>
              <w:rPr>
                <w:rFonts w:cs="Arial"/>
                <w:szCs w:val="16"/>
              </w:rPr>
              <w:t>Te</w:t>
            </w:r>
            <w:proofErr w:type="spellEnd"/>
            <w:r>
              <w:rPr>
                <w:rFonts w:cs="Arial"/>
                <w:szCs w:val="16"/>
              </w:rPr>
              <w:t xml:space="preserve"> </w:t>
            </w:r>
            <w:proofErr w:type="spellStart"/>
            <w:r>
              <w:rPr>
                <w:rFonts w:cs="Arial"/>
                <w:szCs w:val="16"/>
              </w:rPr>
              <w:t>Urewera</w:t>
            </w:r>
            <w:proofErr w:type="spellEnd"/>
            <w:r>
              <w:rPr>
                <w:rFonts w:cs="Arial"/>
                <w:szCs w:val="16"/>
              </w:rPr>
              <w:t xml:space="preserve"> Act 2014.  </w:t>
            </w:r>
          </w:p>
        </w:tc>
        <w:tc>
          <w:tcPr>
            <w:tcW w:w="1015" w:type="pct"/>
          </w:tcPr>
          <w:p w14:paraId="4C8D77EF" w14:textId="77777777" w:rsidR="00BB0CAC" w:rsidRPr="00C253BC" w:rsidRDefault="00BB0CAC" w:rsidP="008C1748">
            <w:pPr>
              <w:pStyle w:val="TableText"/>
              <w:spacing w:before="40" w:after="40"/>
              <w:rPr>
                <w:rFonts w:cs="Arial"/>
              </w:rPr>
            </w:pPr>
            <w:r w:rsidRPr="00C253BC">
              <w:rPr>
                <w:rFonts w:cs="Arial"/>
              </w:rPr>
              <w:t xml:space="preserve">To reduce tax compliance costs connected with the two entities created by the </w:t>
            </w:r>
            <w:proofErr w:type="spellStart"/>
            <w:r w:rsidRPr="00C253BC">
              <w:rPr>
                <w:rFonts w:cs="Arial"/>
              </w:rPr>
              <w:t>Te</w:t>
            </w:r>
            <w:proofErr w:type="spellEnd"/>
            <w:r w:rsidRPr="00C253BC">
              <w:rPr>
                <w:rFonts w:cs="Arial"/>
              </w:rPr>
              <w:t xml:space="preserve"> </w:t>
            </w:r>
            <w:proofErr w:type="spellStart"/>
            <w:r w:rsidRPr="00C253BC">
              <w:rPr>
                <w:rFonts w:cs="Arial"/>
              </w:rPr>
              <w:t>Urewera-Tuhoe</w:t>
            </w:r>
            <w:proofErr w:type="spellEnd"/>
            <w:r w:rsidRPr="00C253BC">
              <w:rPr>
                <w:rFonts w:cs="Arial"/>
              </w:rPr>
              <w:t xml:space="preserve"> Bill – </w:t>
            </w:r>
            <w:proofErr w:type="spellStart"/>
            <w:r w:rsidRPr="00C253BC">
              <w:rPr>
                <w:rFonts w:cs="Arial"/>
              </w:rPr>
              <w:t>Te</w:t>
            </w:r>
            <w:proofErr w:type="spellEnd"/>
            <w:r w:rsidRPr="00C253BC">
              <w:rPr>
                <w:rFonts w:cs="Arial"/>
              </w:rPr>
              <w:t xml:space="preserve"> </w:t>
            </w:r>
            <w:proofErr w:type="spellStart"/>
            <w:r w:rsidRPr="00C253BC">
              <w:rPr>
                <w:rFonts w:cs="Arial"/>
              </w:rPr>
              <w:t>Urewera</w:t>
            </w:r>
            <w:proofErr w:type="spellEnd"/>
            <w:r w:rsidRPr="00C253BC">
              <w:rPr>
                <w:rFonts w:cs="Arial"/>
              </w:rPr>
              <w:t xml:space="preserve"> and the </w:t>
            </w:r>
            <w:proofErr w:type="spellStart"/>
            <w:r w:rsidRPr="00C253BC">
              <w:rPr>
                <w:rFonts w:cs="Arial"/>
              </w:rPr>
              <w:t>Te</w:t>
            </w:r>
            <w:proofErr w:type="spellEnd"/>
            <w:r w:rsidRPr="00C253BC">
              <w:rPr>
                <w:rFonts w:cs="Arial"/>
              </w:rPr>
              <w:t xml:space="preserve"> </w:t>
            </w:r>
            <w:proofErr w:type="spellStart"/>
            <w:r w:rsidRPr="00C253BC">
              <w:rPr>
                <w:rFonts w:cs="Arial"/>
              </w:rPr>
              <w:t>Urewera</w:t>
            </w:r>
            <w:proofErr w:type="spellEnd"/>
            <w:r w:rsidRPr="00C253BC">
              <w:rPr>
                <w:rFonts w:cs="Arial"/>
              </w:rPr>
              <w:t xml:space="preserve"> Board.</w:t>
            </w:r>
          </w:p>
        </w:tc>
        <w:tc>
          <w:tcPr>
            <w:tcW w:w="196" w:type="pct"/>
            <w:tcMar>
              <w:left w:w="28" w:type="dxa"/>
              <w:right w:w="28" w:type="dxa"/>
            </w:tcMar>
          </w:tcPr>
          <w:p w14:paraId="6A3EFC11" w14:textId="77777777" w:rsidR="00BB0CAC" w:rsidRPr="00825723" w:rsidRDefault="00BB0CAC" w:rsidP="008C1748">
            <w:pPr>
              <w:pStyle w:val="TableText"/>
              <w:spacing w:before="40" w:after="40"/>
              <w:jc w:val="center"/>
            </w:pPr>
          </w:p>
        </w:tc>
        <w:tc>
          <w:tcPr>
            <w:tcW w:w="294" w:type="pct"/>
            <w:tcMar>
              <w:left w:w="28" w:type="dxa"/>
              <w:right w:w="28" w:type="dxa"/>
            </w:tcMar>
          </w:tcPr>
          <w:p w14:paraId="0D58F5C4" w14:textId="77777777" w:rsidR="00BB0CAC" w:rsidRPr="00E07D02" w:rsidRDefault="00BB0CAC" w:rsidP="008C1748">
            <w:pPr>
              <w:pStyle w:val="TableText"/>
              <w:spacing w:before="40" w:after="40"/>
              <w:jc w:val="center"/>
              <w:rPr>
                <w:rFonts w:ascii="Wingdings" w:hAnsi="Wingdings"/>
              </w:rPr>
            </w:pPr>
          </w:p>
        </w:tc>
        <w:tc>
          <w:tcPr>
            <w:tcW w:w="197" w:type="pct"/>
            <w:tcMar>
              <w:left w:w="28" w:type="dxa"/>
              <w:right w:w="28" w:type="dxa"/>
            </w:tcMar>
          </w:tcPr>
          <w:p w14:paraId="28D90EA9" w14:textId="77777777" w:rsidR="00BB0CAC" w:rsidRPr="00E07D02" w:rsidRDefault="00BB0CAC" w:rsidP="008C1748">
            <w:pPr>
              <w:pStyle w:val="TableText"/>
              <w:spacing w:before="40" w:after="40"/>
              <w:jc w:val="center"/>
              <w:rPr>
                <w:rFonts w:ascii="Wingdings" w:hAnsi="Wingdings"/>
              </w:rPr>
            </w:pPr>
            <w:r w:rsidRPr="00E07D02">
              <w:rPr>
                <w:rFonts w:ascii="Wingdings" w:hAnsi="Wingdings"/>
              </w:rPr>
              <w:t></w:t>
            </w:r>
          </w:p>
        </w:tc>
        <w:tc>
          <w:tcPr>
            <w:tcW w:w="245" w:type="pct"/>
            <w:tcMar>
              <w:left w:w="28" w:type="dxa"/>
              <w:right w:w="28" w:type="dxa"/>
            </w:tcMar>
          </w:tcPr>
          <w:p w14:paraId="2A14348D" w14:textId="77777777" w:rsidR="00BB0CAC" w:rsidRPr="00825723" w:rsidRDefault="00BB0CAC" w:rsidP="008C1748">
            <w:pPr>
              <w:pStyle w:val="TableText"/>
              <w:spacing w:before="40" w:after="40"/>
              <w:jc w:val="center"/>
            </w:pPr>
          </w:p>
        </w:tc>
        <w:tc>
          <w:tcPr>
            <w:tcW w:w="246" w:type="pct"/>
            <w:tcMar>
              <w:left w:w="28" w:type="dxa"/>
              <w:right w:w="28" w:type="dxa"/>
            </w:tcMar>
          </w:tcPr>
          <w:p w14:paraId="6430BFD1" w14:textId="77777777" w:rsidR="00BB0CAC" w:rsidRPr="00825723" w:rsidRDefault="00BB0CAC" w:rsidP="008C1748">
            <w:pPr>
              <w:pStyle w:val="TableText"/>
              <w:spacing w:before="40" w:after="40"/>
              <w:jc w:val="center"/>
            </w:pPr>
          </w:p>
        </w:tc>
        <w:tc>
          <w:tcPr>
            <w:tcW w:w="342" w:type="pct"/>
            <w:tcMar>
              <w:left w:w="28" w:type="dxa"/>
              <w:right w:w="28" w:type="dxa"/>
            </w:tcMar>
          </w:tcPr>
          <w:p w14:paraId="3D3B906A" w14:textId="77777777" w:rsidR="00BB0CAC" w:rsidRPr="00E07D02" w:rsidRDefault="00BB0CAC" w:rsidP="008C1748">
            <w:pPr>
              <w:pStyle w:val="TableText"/>
              <w:spacing w:before="40" w:after="40"/>
              <w:jc w:val="center"/>
              <w:rPr>
                <w:rFonts w:ascii="Wingdings" w:hAnsi="Wingdings"/>
              </w:rPr>
            </w:pPr>
            <w:r w:rsidRPr="00E07D02">
              <w:rPr>
                <w:rFonts w:ascii="Wingdings" w:hAnsi="Wingdings"/>
              </w:rPr>
              <w:t></w:t>
            </w:r>
          </w:p>
        </w:tc>
      </w:tr>
      <w:tr w:rsidR="00BB0CAC" w:rsidRPr="00844BF8" w14:paraId="74610C38" w14:textId="77777777" w:rsidTr="008C1748">
        <w:trPr>
          <w:trHeight w:val="70"/>
        </w:trPr>
        <w:tc>
          <w:tcPr>
            <w:tcW w:w="883" w:type="pct"/>
          </w:tcPr>
          <w:p w14:paraId="3447725C" w14:textId="77777777" w:rsidR="00BB0CAC" w:rsidRPr="00825723" w:rsidRDefault="00BB0CAC" w:rsidP="008C1748">
            <w:pPr>
              <w:pStyle w:val="TableText"/>
              <w:spacing w:before="40" w:after="40"/>
            </w:pPr>
            <w:r w:rsidRPr="00825723">
              <w:t>Veterinary services bodies: exempt income</w:t>
            </w:r>
          </w:p>
        </w:tc>
        <w:tc>
          <w:tcPr>
            <w:tcW w:w="567" w:type="pct"/>
          </w:tcPr>
          <w:p w14:paraId="33FB09E4" w14:textId="77777777" w:rsidR="00BB0CAC" w:rsidRPr="00A96323" w:rsidRDefault="00BB0CAC" w:rsidP="008C1748">
            <w:pPr>
              <w:pStyle w:val="TableText"/>
              <w:spacing w:before="40" w:after="40"/>
              <w:rPr>
                <w:rFonts w:cs="Arial"/>
                <w:i/>
                <w:szCs w:val="22"/>
              </w:rPr>
            </w:pPr>
            <w:r w:rsidRPr="00A96323">
              <w:rPr>
                <w:rFonts w:cs="Arial"/>
                <w:i/>
                <w:szCs w:val="22"/>
              </w:rPr>
              <w:t>Section CW 50</w:t>
            </w:r>
          </w:p>
          <w:p w14:paraId="40B73AD5" w14:textId="77777777" w:rsidR="00BB0CAC" w:rsidRPr="00A96323" w:rsidRDefault="00BB0CAC" w:rsidP="008C1748">
            <w:pPr>
              <w:pStyle w:val="TableText"/>
              <w:spacing w:before="40" w:after="40"/>
              <w:rPr>
                <w:rFonts w:cs="Arial"/>
                <w:i/>
                <w:szCs w:val="22"/>
              </w:rPr>
            </w:pPr>
            <w:r w:rsidRPr="00A96323">
              <w:rPr>
                <w:rFonts w:cs="Arial"/>
                <w:i/>
                <w:szCs w:val="22"/>
              </w:rPr>
              <w:t>-Exemption</w:t>
            </w:r>
          </w:p>
        </w:tc>
        <w:tc>
          <w:tcPr>
            <w:tcW w:w="1015" w:type="pct"/>
          </w:tcPr>
          <w:p w14:paraId="5058D066" w14:textId="77777777" w:rsidR="00BB0CAC" w:rsidRDefault="00BB0CAC" w:rsidP="008C1748">
            <w:pPr>
              <w:pStyle w:val="TableText"/>
              <w:spacing w:before="40" w:after="40"/>
              <w:rPr>
                <w:szCs w:val="16"/>
                <w:lang w:val="en-AU"/>
              </w:rPr>
            </w:pPr>
            <w:r w:rsidRPr="00CD766A">
              <w:rPr>
                <w:rFonts w:cs="Arial"/>
                <w:szCs w:val="16"/>
              </w:rPr>
              <w:t xml:space="preserve">Income derived by a veterinary association, club or society established mainly to promote efficient veterinary services in New Zealand is exempt income, providing no funds are used for private </w:t>
            </w:r>
            <w:r w:rsidRPr="007D63D0">
              <w:rPr>
                <w:rFonts w:cs="Arial"/>
                <w:szCs w:val="16"/>
              </w:rPr>
              <w:t>pecuniary</w:t>
            </w:r>
            <w:r w:rsidRPr="00CD766A">
              <w:rPr>
                <w:rFonts w:cs="Arial"/>
                <w:szCs w:val="16"/>
              </w:rPr>
              <w:t xml:space="preserve"> profit.</w:t>
            </w:r>
          </w:p>
        </w:tc>
        <w:tc>
          <w:tcPr>
            <w:tcW w:w="1015" w:type="pct"/>
          </w:tcPr>
          <w:p w14:paraId="7A3FBCC8" w14:textId="77777777" w:rsidR="00BB0CAC" w:rsidRPr="00C253BC" w:rsidRDefault="00BB0CAC" w:rsidP="008C1748">
            <w:pPr>
              <w:pStyle w:val="TableText"/>
              <w:spacing w:before="40" w:after="40"/>
              <w:rPr>
                <w:rFonts w:cs="Arial"/>
              </w:rPr>
            </w:pPr>
            <w:r w:rsidRPr="00C253BC">
              <w:rPr>
                <w:rFonts w:cs="Arial"/>
                <w:color w:val="000000"/>
              </w:rPr>
              <w:t>Originally established as the bodies were seen to be of national significance.</w:t>
            </w:r>
          </w:p>
        </w:tc>
        <w:tc>
          <w:tcPr>
            <w:tcW w:w="196" w:type="pct"/>
            <w:tcMar>
              <w:left w:w="28" w:type="dxa"/>
              <w:right w:w="28" w:type="dxa"/>
            </w:tcMar>
          </w:tcPr>
          <w:p w14:paraId="7A3A3BCA" w14:textId="77777777" w:rsidR="00BB0CAC" w:rsidRPr="00825723" w:rsidRDefault="00BB0CAC" w:rsidP="008C1748">
            <w:pPr>
              <w:pStyle w:val="TableText"/>
              <w:spacing w:before="40" w:after="40"/>
            </w:pPr>
          </w:p>
        </w:tc>
        <w:tc>
          <w:tcPr>
            <w:tcW w:w="294" w:type="pct"/>
            <w:tcMar>
              <w:left w:w="28" w:type="dxa"/>
              <w:right w:w="28" w:type="dxa"/>
            </w:tcMar>
          </w:tcPr>
          <w:p w14:paraId="2714AD65" w14:textId="77777777" w:rsidR="00BB0CAC" w:rsidRPr="00825723" w:rsidRDefault="00BB0CAC" w:rsidP="008C1748">
            <w:pPr>
              <w:pStyle w:val="TableText"/>
              <w:spacing w:before="40" w:after="40"/>
            </w:pPr>
            <w:r w:rsidRPr="00E07D02">
              <w:rPr>
                <w:rFonts w:ascii="Wingdings" w:hAnsi="Wingdings"/>
              </w:rPr>
              <w:t></w:t>
            </w:r>
          </w:p>
        </w:tc>
        <w:tc>
          <w:tcPr>
            <w:tcW w:w="197" w:type="pct"/>
            <w:tcMar>
              <w:left w:w="28" w:type="dxa"/>
              <w:right w:w="28" w:type="dxa"/>
            </w:tcMar>
          </w:tcPr>
          <w:p w14:paraId="5F4CBCA7" w14:textId="77777777" w:rsidR="00BB0CAC" w:rsidRPr="00825723" w:rsidRDefault="00BB0CAC" w:rsidP="008C1748">
            <w:pPr>
              <w:pStyle w:val="TableText"/>
              <w:spacing w:before="40" w:after="40"/>
            </w:pPr>
          </w:p>
        </w:tc>
        <w:tc>
          <w:tcPr>
            <w:tcW w:w="245" w:type="pct"/>
            <w:tcMar>
              <w:left w:w="28" w:type="dxa"/>
              <w:right w:w="28" w:type="dxa"/>
            </w:tcMar>
          </w:tcPr>
          <w:p w14:paraId="1DEE3F04" w14:textId="77777777" w:rsidR="00BB0CAC" w:rsidRPr="00825723" w:rsidRDefault="00BB0CAC" w:rsidP="008C1748">
            <w:pPr>
              <w:pStyle w:val="TableText"/>
              <w:spacing w:before="40" w:after="40"/>
            </w:pPr>
          </w:p>
        </w:tc>
        <w:tc>
          <w:tcPr>
            <w:tcW w:w="246" w:type="pct"/>
            <w:tcMar>
              <w:left w:w="28" w:type="dxa"/>
              <w:right w:w="28" w:type="dxa"/>
            </w:tcMar>
          </w:tcPr>
          <w:p w14:paraId="57F448F4" w14:textId="77777777" w:rsidR="00BB0CAC" w:rsidRPr="00825723" w:rsidRDefault="00BB0CAC" w:rsidP="008C1748">
            <w:pPr>
              <w:pStyle w:val="TableText"/>
              <w:spacing w:before="40" w:after="40"/>
            </w:pPr>
          </w:p>
        </w:tc>
        <w:tc>
          <w:tcPr>
            <w:tcW w:w="342" w:type="pct"/>
            <w:tcMar>
              <w:left w:w="28" w:type="dxa"/>
              <w:right w:w="28" w:type="dxa"/>
            </w:tcMar>
          </w:tcPr>
          <w:p w14:paraId="519FA3F0" w14:textId="77777777" w:rsidR="00BB0CAC" w:rsidRPr="00825723" w:rsidRDefault="00BB0CAC" w:rsidP="008C1748">
            <w:pPr>
              <w:pStyle w:val="TableText"/>
              <w:spacing w:before="40" w:after="40"/>
            </w:pPr>
            <w:r w:rsidRPr="00E07D02">
              <w:rPr>
                <w:rFonts w:ascii="Wingdings" w:hAnsi="Wingdings"/>
              </w:rPr>
              <w:t></w:t>
            </w:r>
          </w:p>
        </w:tc>
      </w:tr>
    </w:tbl>
    <w:p w14:paraId="18912F66" w14:textId="77777777" w:rsidR="00BB0CAC" w:rsidRPr="00D66F4C" w:rsidRDefault="00BB0CAC" w:rsidP="008C1748">
      <w:pPr>
        <w:pStyle w:val="Heading3"/>
        <w:rPr>
          <w:i/>
        </w:rPr>
      </w:pPr>
      <w:r w:rsidRPr="00D66F4C">
        <w:lastRenderedPageBreak/>
        <w:t>Table 4: Approved Appropriated Spending Made through the Tax System</w:t>
      </w:r>
    </w:p>
    <w:tbl>
      <w:tblPr>
        <w:tblW w:w="1448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57" w:type="dxa"/>
          <w:right w:w="57" w:type="dxa"/>
        </w:tblCellMar>
        <w:tblLook w:val="04A0" w:firstRow="1" w:lastRow="0" w:firstColumn="1" w:lastColumn="0" w:noHBand="0" w:noVBand="1"/>
      </w:tblPr>
      <w:tblGrid>
        <w:gridCol w:w="2548"/>
        <w:gridCol w:w="1652"/>
        <w:gridCol w:w="5865"/>
        <w:gridCol w:w="574"/>
        <w:gridCol w:w="839"/>
        <w:gridCol w:w="546"/>
        <w:gridCol w:w="756"/>
        <w:gridCol w:w="686"/>
        <w:gridCol w:w="1022"/>
      </w:tblGrid>
      <w:tr w:rsidR="00BB0CAC" w:rsidRPr="00C779D3" w14:paraId="6BC45DAF" w14:textId="77777777" w:rsidTr="008C1748">
        <w:trPr>
          <w:trHeight w:val="339"/>
        </w:trPr>
        <w:tc>
          <w:tcPr>
            <w:tcW w:w="2548" w:type="dxa"/>
            <w:vMerge w:val="restart"/>
            <w:vAlign w:val="bottom"/>
          </w:tcPr>
          <w:p w14:paraId="14D426D6" w14:textId="77777777" w:rsidR="00BB0CAC" w:rsidRPr="008C1748" w:rsidRDefault="00BB0CAC" w:rsidP="000676D8">
            <w:pPr>
              <w:pStyle w:val="TableHeading"/>
            </w:pPr>
            <w:r w:rsidRPr="008C1748">
              <w:t>Tax Expenditure</w:t>
            </w:r>
          </w:p>
        </w:tc>
        <w:tc>
          <w:tcPr>
            <w:tcW w:w="1652" w:type="dxa"/>
            <w:vMerge w:val="restart"/>
            <w:vAlign w:val="bottom"/>
          </w:tcPr>
          <w:p w14:paraId="29E29DDC" w14:textId="77777777" w:rsidR="00BB0CAC" w:rsidRPr="008C1748" w:rsidRDefault="00BB0CAC" w:rsidP="000676D8">
            <w:pPr>
              <w:pStyle w:val="TableHeading"/>
            </w:pPr>
            <w:r w:rsidRPr="008C1748">
              <w:t>Sections</w:t>
            </w:r>
          </w:p>
        </w:tc>
        <w:tc>
          <w:tcPr>
            <w:tcW w:w="5865" w:type="dxa"/>
            <w:vMerge w:val="restart"/>
            <w:vAlign w:val="bottom"/>
          </w:tcPr>
          <w:p w14:paraId="75CECAA6" w14:textId="77777777" w:rsidR="00BB0CAC" w:rsidRPr="008C1748" w:rsidRDefault="00BB0CAC" w:rsidP="000676D8">
            <w:pPr>
              <w:pStyle w:val="TableHeading"/>
            </w:pPr>
            <w:r w:rsidRPr="008C1748">
              <w:t>Comment</w:t>
            </w:r>
          </w:p>
        </w:tc>
        <w:tc>
          <w:tcPr>
            <w:tcW w:w="1959" w:type="dxa"/>
            <w:gridSpan w:val="3"/>
            <w:tcMar>
              <w:left w:w="28" w:type="dxa"/>
              <w:right w:w="28" w:type="dxa"/>
            </w:tcMar>
            <w:vAlign w:val="bottom"/>
          </w:tcPr>
          <w:p w14:paraId="19413852" w14:textId="77777777" w:rsidR="00BB0CAC" w:rsidRPr="008C1748" w:rsidRDefault="00BB0CAC" w:rsidP="000676D8">
            <w:pPr>
              <w:pStyle w:val="TableHeading"/>
              <w:jc w:val="center"/>
            </w:pPr>
            <w:r w:rsidRPr="008C1748">
              <w:t>Type</w:t>
            </w:r>
          </w:p>
        </w:tc>
        <w:tc>
          <w:tcPr>
            <w:tcW w:w="2464" w:type="dxa"/>
            <w:gridSpan w:val="3"/>
            <w:tcMar>
              <w:left w:w="28" w:type="dxa"/>
              <w:right w:w="28" w:type="dxa"/>
            </w:tcMar>
            <w:vAlign w:val="bottom"/>
          </w:tcPr>
          <w:p w14:paraId="761A588F" w14:textId="77777777" w:rsidR="00BB0CAC" w:rsidRPr="008C1748" w:rsidRDefault="00BB0CAC" w:rsidP="000676D8">
            <w:pPr>
              <w:pStyle w:val="TableHeading"/>
              <w:jc w:val="center"/>
            </w:pPr>
            <w:r w:rsidRPr="008C1748">
              <w:t>Impact</w:t>
            </w:r>
          </w:p>
        </w:tc>
      </w:tr>
      <w:tr w:rsidR="00BB0CAC" w:rsidRPr="00C779D3" w14:paraId="17BA6AE4" w14:textId="77777777" w:rsidTr="008C1748">
        <w:trPr>
          <w:trHeight w:val="154"/>
        </w:trPr>
        <w:tc>
          <w:tcPr>
            <w:tcW w:w="2548" w:type="dxa"/>
            <w:vMerge/>
            <w:vAlign w:val="center"/>
          </w:tcPr>
          <w:p w14:paraId="674AE69A" w14:textId="77777777" w:rsidR="00BB0CAC" w:rsidRPr="00C779D3" w:rsidRDefault="00BB0CAC" w:rsidP="000676D8">
            <w:pPr>
              <w:spacing w:line="220" w:lineRule="atLeast"/>
              <w:rPr>
                <w:spacing w:val="-2"/>
              </w:rPr>
            </w:pPr>
          </w:p>
        </w:tc>
        <w:tc>
          <w:tcPr>
            <w:tcW w:w="1652" w:type="dxa"/>
            <w:vMerge/>
            <w:vAlign w:val="center"/>
          </w:tcPr>
          <w:p w14:paraId="3F7D8EAB" w14:textId="77777777" w:rsidR="00BB0CAC" w:rsidRPr="00C779D3" w:rsidRDefault="00BB0CAC" w:rsidP="000676D8">
            <w:pPr>
              <w:spacing w:line="220" w:lineRule="atLeast"/>
              <w:rPr>
                <w:spacing w:val="-2"/>
              </w:rPr>
            </w:pPr>
          </w:p>
        </w:tc>
        <w:tc>
          <w:tcPr>
            <w:tcW w:w="5865" w:type="dxa"/>
            <w:vMerge/>
          </w:tcPr>
          <w:p w14:paraId="4ED6FF1A" w14:textId="77777777" w:rsidR="00BB0CAC" w:rsidRDefault="00BB0CAC" w:rsidP="000676D8">
            <w:pPr>
              <w:spacing w:before="30" w:line="220" w:lineRule="atLeast"/>
              <w:rPr>
                <w:rFonts w:ascii="Arial Bold" w:hAnsi="Arial Bold"/>
                <w:color w:val="002060"/>
                <w:spacing w:val="-3"/>
              </w:rPr>
            </w:pPr>
          </w:p>
        </w:tc>
        <w:tc>
          <w:tcPr>
            <w:tcW w:w="574" w:type="dxa"/>
            <w:tcMar>
              <w:left w:w="28" w:type="dxa"/>
              <w:right w:w="28" w:type="dxa"/>
            </w:tcMar>
            <w:vAlign w:val="center"/>
          </w:tcPr>
          <w:p w14:paraId="29055F24" w14:textId="77777777" w:rsidR="00BB0CAC" w:rsidRPr="00C779D3" w:rsidRDefault="00BB0CAC" w:rsidP="000676D8">
            <w:pPr>
              <w:pStyle w:val="TableHeading"/>
            </w:pPr>
            <w:r w:rsidRPr="00C779D3">
              <w:t>Social</w:t>
            </w:r>
          </w:p>
        </w:tc>
        <w:tc>
          <w:tcPr>
            <w:tcW w:w="839" w:type="dxa"/>
            <w:tcMar>
              <w:left w:w="28" w:type="dxa"/>
              <w:right w:w="28" w:type="dxa"/>
            </w:tcMar>
            <w:vAlign w:val="center"/>
          </w:tcPr>
          <w:p w14:paraId="4E1FA19F" w14:textId="77777777" w:rsidR="00BB0CAC" w:rsidRPr="00C779D3" w:rsidRDefault="00BB0CAC" w:rsidP="000676D8">
            <w:pPr>
              <w:pStyle w:val="TableHeading"/>
            </w:pPr>
            <w:r w:rsidRPr="00C779D3">
              <w:t>Business</w:t>
            </w:r>
          </w:p>
        </w:tc>
        <w:tc>
          <w:tcPr>
            <w:tcW w:w="546" w:type="dxa"/>
            <w:tcMar>
              <w:left w:w="28" w:type="dxa"/>
              <w:right w:w="28" w:type="dxa"/>
            </w:tcMar>
            <w:vAlign w:val="center"/>
          </w:tcPr>
          <w:p w14:paraId="2E883DC9" w14:textId="77777777" w:rsidR="00BB0CAC" w:rsidRPr="00C779D3" w:rsidRDefault="00BB0CAC" w:rsidP="000676D8">
            <w:pPr>
              <w:pStyle w:val="TableHeading"/>
            </w:pPr>
            <w:r w:rsidRPr="00C779D3">
              <w:t>Other</w:t>
            </w:r>
          </w:p>
        </w:tc>
        <w:tc>
          <w:tcPr>
            <w:tcW w:w="756" w:type="dxa"/>
            <w:tcMar>
              <w:left w:w="28" w:type="dxa"/>
              <w:right w:w="28" w:type="dxa"/>
            </w:tcMar>
            <w:vAlign w:val="center"/>
          </w:tcPr>
          <w:p w14:paraId="3BB70683" w14:textId="77777777" w:rsidR="00BB0CAC" w:rsidRPr="008C1748" w:rsidRDefault="00BB0CAC" w:rsidP="000676D8">
            <w:pPr>
              <w:pStyle w:val="TableHeading"/>
            </w:pPr>
            <w:r w:rsidRPr="008C1748">
              <w:t>Historic</w:t>
            </w:r>
          </w:p>
        </w:tc>
        <w:tc>
          <w:tcPr>
            <w:tcW w:w="686" w:type="dxa"/>
            <w:tcMar>
              <w:left w:w="28" w:type="dxa"/>
              <w:right w:w="28" w:type="dxa"/>
            </w:tcMar>
            <w:vAlign w:val="center"/>
          </w:tcPr>
          <w:p w14:paraId="778195CB" w14:textId="77777777" w:rsidR="00BB0CAC" w:rsidRPr="008C1748" w:rsidRDefault="00BB0CAC" w:rsidP="000676D8">
            <w:pPr>
              <w:pStyle w:val="TableHeading"/>
            </w:pPr>
            <w:r w:rsidRPr="008C1748">
              <w:t>Timing</w:t>
            </w:r>
          </w:p>
        </w:tc>
        <w:tc>
          <w:tcPr>
            <w:tcW w:w="1022" w:type="dxa"/>
            <w:tcMar>
              <w:left w:w="28" w:type="dxa"/>
              <w:right w:w="28" w:type="dxa"/>
            </w:tcMar>
            <w:vAlign w:val="center"/>
          </w:tcPr>
          <w:p w14:paraId="415C9484" w14:textId="77777777" w:rsidR="00BB0CAC" w:rsidRPr="008C1748" w:rsidRDefault="00BB0CAC" w:rsidP="000676D8">
            <w:pPr>
              <w:pStyle w:val="TableHeading"/>
            </w:pPr>
            <w:r w:rsidRPr="008C1748">
              <w:t>Permanent</w:t>
            </w:r>
          </w:p>
        </w:tc>
      </w:tr>
      <w:tr w:rsidR="00BB0CAC" w:rsidRPr="00844BF8" w14:paraId="7DE26083" w14:textId="77777777" w:rsidTr="008C1748">
        <w:trPr>
          <w:trHeight w:val="607"/>
        </w:trPr>
        <w:tc>
          <w:tcPr>
            <w:tcW w:w="2548" w:type="dxa"/>
          </w:tcPr>
          <w:p w14:paraId="65A3659F" w14:textId="77777777" w:rsidR="00BB0CAC" w:rsidRDefault="00BB0CAC" w:rsidP="000676D8">
            <w:pPr>
              <w:pStyle w:val="TableText"/>
            </w:pPr>
            <w:r w:rsidRPr="00844BF8">
              <w:t>Child tax credit</w:t>
            </w:r>
          </w:p>
        </w:tc>
        <w:tc>
          <w:tcPr>
            <w:tcW w:w="1652" w:type="dxa"/>
          </w:tcPr>
          <w:p w14:paraId="487E78D3" w14:textId="77777777" w:rsidR="00BB0CAC" w:rsidRDefault="00BB0CAC" w:rsidP="000676D8">
            <w:pPr>
              <w:pStyle w:val="TableText"/>
              <w:rPr>
                <w:i/>
              </w:rPr>
            </w:pPr>
            <w:r w:rsidRPr="00194CB3">
              <w:rPr>
                <w:i/>
              </w:rPr>
              <w:t>Section MZ 2</w:t>
            </w:r>
          </w:p>
        </w:tc>
        <w:tc>
          <w:tcPr>
            <w:tcW w:w="5865" w:type="dxa"/>
          </w:tcPr>
          <w:p w14:paraId="36EE1E5B" w14:textId="77777777" w:rsidR="00BB0CAC" w:rsidRDefault="00BB0CAC" w:rsidP="000676D8">
            <w:pPr>
              <w:pStyle w:val="TableText"/>
              <w:rPr>
                <w:rFonts w:cs="Arial"/>
                <w:szCs w:val="16"/>
              </w:rPr>
            </w:pPr>
            <w:r w:rsidRPr="00CD766A">
              <w:rPr>
                <w:rFonts w:cs="Arial"/>
                <w:szCs w:val="16"/>
              </w:rPr>
              <w:t>Families with a pre-existing en</w:t>
            </w:r>
            <w:r>
              <w:rPr>
                <w:rFonts w:cs="Arial"/>
                <w:szCs w:val="16"/>
              </w:rPr>
              <w:t>titlement dating from before 31 </w:t>
            </w:r>
            <w:r w:rsidRPr="00CD766A">
              <w:rPr>
                <w:rFonts w:cs="Arial"/>
                <w:szCs w:val="16"/>
              </w:rPr>
              <w:t>March 2006 are able to claim a tax credit for dependent children. Additional access to this tax credit is no longer available.</w:t>
            </w:r>
          </w:p>
        </w:tc>
        <w:tc>
          <w:tcPr>
            <w:tcW w:w="574" w:type="dxa"/>
            <w:tcMar>
              <w:left w:w="28" w:type="dxa"/>
              <w:right w:w="28" w:type="dxa"/>
            </w:tcMar>
          </w:tcPr>
          <w:p w14:paraId="680F4B85"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2DD10B94" w14:textId="77777777" w:rsidR="00BB0CAC" w:rsidRDefault="00BB0CAC" w:rsidP="000676D8">
            <w:pPr>
              <w:pStyle w:val="TableText"/>
              <w:jc w:val="center"/>
            </w:pPr>
          </w:p>
        </w:tc>
        <w:tc>
          <w:tcPr>
            <w:tcW w:w="546" w:type="dxa"/>
            <w:tcMar>
              <w:left w:w="28" w:type="dxa"/>
              <w:right w:w="28" w:type="dxa"/>
            </w:tcMar>
          </w:tcPr>
          <w:p w14:paraId="47B5F393" w14:textId="77777777" w:rsidR="00BB0CAC" w:rsidRDefault="00BB0CAC" w:rsidP="000676D8">
            <w:pPr>
              <w:pStyle w:val="TableText"/>
              <w:jc w:val="center"/>
            </w:pPr>
          </w:p>
        </w:tc>
        <w:tc>
          <w:tcPr>
            <w:tcW w:w="756" w:type="dxa"/>
            <w:tcMar>
              <w:left w:w="28" w:type="dxa"/>
              <w:right w:w="28" w:type="dxa"/>
            </w:tcMar>
          </w:tcPr>
          <w:p w14:paraId="2A4E1AD5" w14:textId="77777777" w:rsidR="00BB0CAC" w:rsidRDefault="00BB0CAC" w:rsidP="000676D8">
            <w:pPr>
              <w:pStyle w:val="TableText"/>
              <w:jc w:val="center"/>
            </w:pPr>
            <w:r w:rsidRPr="00E07D02">
              <w:rPr>
                <w:rFonts w:ascii="Wingdings" w:hAnsi="Wingdings"/>
              </w:rPr>
              <w:t></w:t>
            </w:r>
          </w:p>
        </w:tc>
        <w:tc>
          <w:tcPr>
            <w:tcW w:w="686" w:type="dxa"/>
            <w:tcMar>
              <w:left w:w="28" w:type="dxa"/>
              <w:right w:w="28" w:type="dxa"/>
            </w:tcMar>
          </w:tcPr>
          <w:p w14:paraId="11681B59" w14:textId="77777777" w:rsidR="00BB0CAC" w:rsidRDefault="00BB0CAC" w:rsidP="000676D8">
            <w:pPr>
              <w:pStyle w:val="TableText"/>
              <w:jc w:val="center"/>
            </w:pPr>
          </w:p>
        </w:tc>
        <w:tc>
          <w:tcPr>
            <w:tcW w:w="1022" w:type="dxa"/>
            <w:tcMar>
              <w:left w:w="28" w:type="dxa"/>
              <w:right w:w="28" w:type="dxa"/>
            </w:tcMar>
          </w:tcPr>
          <w:p w14:paraId="61EDE120" w14:textId="77777777" w:rsidR="00BB0CAC" w:rsidRDefault="00BB0CAC" w:rsidP="000676D8">
            <w:pPr>
              <w:pStyle w:val="TableText"/>
              <w:jc w:val="center"/>
            </w:pPr>
            <w:r w:rsidRPr="00E07D02">
              <w:rPr>
                <w:rFonts w:ascii="Wingdings" w:hAnsi="Wingdings"/>
              </w:rPr>
              <w:t></w:t>
            </w:r>
          </w:p>
        </w:tc>
      </w:tr>
      <w:tr w:rsidR="00BB0CAC" w:rsidRPr="00844BF8" w14:paraId="2DF973A9" w14:textId="77777777" w:rsidTr="008C1748">
        <w:trPr>
          <w:trHeight w:val="354"/>
        </w:trPr>
        <w:tc>
          <w:tcPr>
            <w:tcW w:w="2548" w:type="dxa"/>
          </w:tcPr>
          <w:p w14:paraId="709D8443" w14:textId="77777777" w:rsidR="00BB0CAC" w:rsidRDefault="00BB0CAC" w:rsidP="000676D8">
            <w:pPr>
              <w:pStyle w:val="TableText"/>
            </w:pPr>
            <w:r w:rsidRPr="00844BF8">
              <w:t>Family tax credit</w:t>
            </w:r>
          </w:p>
        </w:tc>
        <w:tc>
          <w:tcPr>
            <w:tcW w:w="1652" w:type="dxa"/>
          </w:tcPr>
          <w:p w14:paraId="65E7F626" w14:textId="77777777" w:rsidR="00BB0CAC" w:rsidRDefault="00BB0CAC" w:rsidP="000676D8">
            <w:pPr>
              <w:pStyle w:val="TableText"/>
              <w:rPr>
                <w:i/>
              </w:rPr>
            </w:pPr>
            <w:r w:rsidRPr="00194CB3">
              <w:rPr>
                <w:i/>
              </w:rPr>
              <w:t>Section MD 3</w:t>
            </w:r>
          </w:p>
        </w:tc>
        <w:tc>
          <w:tcPr>
            <w:tcW w:w="5865" w:type="dxa"/>
          </w:tcPr>
          <w:p w14:paraId="0EDAFABB" w14:textId="77777777" w:rsidR="00BB0CAC" w:rsidRDefault="00BB0CAC" w:rsidP="000676D8">
            <w:pPr>
              <w:pStyle w:val="TableText"/>
              <w:rPr>
                <w:rFonts w:cs="Arial"/>
                <w:szCs w:val="16"/>
              </w:rPr>
            </w:pPr>
            <w:r w:rsidRPr="00CD766A">
              <w:rPr>
                <w:rFonts w:cs="Arial"/>
                <w:szCs w:val="16"/>
              </w:rPr>
              <w:t xml:space="preserve">Families are entitled to an income tested tax credit or cash payment for children aged 18 years or younger. </w:t>
            </w:r>
          </w:p>
        </w:tc>
        <w:tc>
          <w:tcPr>
            <w:tcW w:w="574" w:type="dxa"/>
            <w:tcMar>
              <w:left w:w="28" w:type="dxa"/>
              <w:right w:w="28" w:type="dxa"/>
            </w:tcMar>
          </w:tcPr>
          <w:p w14:paraId="01D19322"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60061F7F" w14:textId="77777777" w:rsidR="00BB0CAC" w:rsidRDefault="00BB0CAC" w:rsidP="000676D8">
            <w:pPr>
              <w:pStyle w:val="TableText"/>
              <w:jc w:val="center"/>
            </w:pPr>
          </w:p>
        </w:tc>
        <w:tc>
          <w:tcPr>
            <w:tcW w:w="546" w:type="dxa"/>
            <w:tcMar>
              <w:left w:w="28" w:type="dxa"/>
              <w:right w:w="28" w:type="dxa"/>
            </w:tcMar>
          </w:tcPr>
          <w:p w14:paraId="65F3220E" w14:textId="77777777" w:rsidR="00BB0CAC" w:rsidRDefault="00BB0CAC" w:rsidP="000676D8">
            <w:pPr>
              <w:pStyle w:val="TableText"/>
              <w:jc w:val="center"/>
            </w:pPr>
          </w:p>
        </w:tc>
        <w:tc>
          <w:tcPr>
            <w:tcW w:w="756" w:type="dxa"/>
            <w:tcMar>
              <w:left w:w="28" w:type="dxa"/>
              <w:right w:w="28" w:type="dxa"/>
            </w:tcMar>
          </w:tcPr>
          <w:p w14:paraId="3B6E588A" w14:textId="77777777" w:rsidR="00BB0CAC" w:rsidRDefault="00BB0CAC" w:rsidP="000676D8">
            <w:pPr>
              <w:pStyle w:val="TableText"/>
              <w:jc w:val="center"/>
            </w:pPr>
          </w:p>
        </w:tc>
        <w:tc>
          <w:tcPr>
            <w:tcW w:w="686" w:type="dxa"/>
            <w:tcMar>
              <w:left w:w="28" w:type="dxa"/>
              <w:right w:w="28" w:type="dxa"/>
            </w:tcMar>
          </w:tcPr>
          <w:p w14:paraId="13477DBA" w14:textId="77777777" w:rsidR="00BB0CAC" w:rsidRDefault="00BB0CAC" w:rsidP="000676D8">
            <w:pPr>
              <w:pStyle w:val="TableText"/>
              <w:jc w:val="center"/>
            </w:pPr>
          </w:p>
        </w:tc>
        <w:tc>
          <w:tcPr>
            <w:tcW w:w="1022" w:type="dxa"/>
            <w:tcMar>
              <w:left w:w="28" w:type="dxa"/>
              <w:right w:w="28" w:type="dxa"/>
            </w:tcMar>
          </w:tcPr>
          <w:p w14:paraId="38AF0902" w14:textId="77777777" w:rsidR="00BB0CAC" w:rsidRDefault="00BB0CAC" w:rsidP="000676D8">
            <w:pPr>
              <w:pStyle w:val="TableText"/>
              <w:jc w:val="center"/>
            </w:pPr>
            <w:r w:rsidRPr="00E07D02">
              <w:rPr>
                <w:rFonts w:ascii="Wingdings" w:hAnsi="Wingdings"/>
              </w:rPr>
              <w:t></w:t>
            </w:r>
          </w:p>
        </w:tc>
      </w:tr>
      <w:tr w:rsidR="00BB0CAC" w:rsidRPr="00844BF8" w14:paraId="5032DBE1" w14:textId="77777777" w:rsidTr="008C1748">
        <w:trPr>
          <w:trHeight w:val="354"/>
        </w:trPr>
        <w:tc>
          <w:tcPr>
            <w:tcW w:w="2548" w:type="dxa"/>
          </w:tcPr>
          <w:p w14:paraId="55D6DD61" w14:textId="77777777" w:rsidR="00BB0CAC" w:rsidRDefault="00BB0CAC" w:rsidP="000676D8">
            <w:pPr>
              <w:pStyle w:val="TableText"/>
            </w:pPr>
            <w:r w:rsidRPr="00844BF8">
              <w:t>In-work tax credit</w:t>
            </w:r>
          </w:p>
        </w:tc>
        <w:tc>
          <w:tcPr>
            <w:tcW w:w="1652" w:type="dxa"/>
          </w:tcPr>
          <w:p w14:paraId="2EF7BAEA" w14:textId="77777777" w:rsidR="00BB0CAC" w:rsidRDefault="00BB0CAC" w:rsidP="000676D8">
            <w:pPr>
              <w:pStyle w:val="TableText"/>
              <w:rPr>
                <w:i/>
              </w:rPr>
            </w:pPr>
            <w:r w:rsidRPr="00194CB3">
              <w:rPr>
                <w:i/>
              </w:rPr>
              <w:t>Section MD 10</w:t>
            </w:r>
          </w:p>
        </w:tc>
        <w:tc>
          <w:tcPr>
            <w:tcW w:w="5865" w:type="dxa"/>
          </w:tcPr>
          <w:p w14:paraId="70CA7354" w14:textId="77777777" w:rsidR="00BB0CAC" w:rsidRDefault="00BB0CAC" w:rsidP="000676D8">
            <w:pPr>
              <w:pStyle w:val="TableText"/>
              <w:rPr>
                <w:rFonts w:cs="Arial"/>
                <w:szCs w:val="16"/>
              </w:rPr>
            </w:pPr>
            <w:r w:rsidRPr="00CD766A">
              <w:rPr>
                <w:rFonts w:cs="Arial"/>
                <w:szCs w:val="16"/>
              </w:rPr>
              <w:t>Families with children 18 years or younger that work the required number of hours per week are entitled to an income tested in-work tax credit</w:t>
            </w:r>
            <w:r w:rsidRPr="00CD766A">
              <w:rPr>
                <w:rFonts w:cs="Arial"/>
                <w:color w:val="333333"/>
                <w:szCs w:val="16"/>
                <w:lang w:eastAsia="en-NZ"/>
              </w:rPr>
              <w:t>.</w:t>
            </w:r>
            <w:r w:rsidRPr="00CD766A">
              <w:rPr>
                <w:rFonts w:cs="Arial"/>
                <w:szCs w:val="16"/>
              </w:rPr>
              <w:t xml:space="preserve"> </w:t>
            </w:r>
          </w:p>
        </w:tc>
        <w:tc>
          <w:tcPr>
            <w:tcW w:w="574" w:type="dxa"/>
            <w:tcMar>
              <w:left w:w="28" w:type="dxa"/>
              <w:right w:w="28" w:type="dxa"/>
            </w:tcMar>
          </w:tcPr>
          <w:p w14:paraId="21B752EE"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10F54037" w14:textId="77777777" w:rsidR="00BB0CAC" w:rsidRDefault="00BB0CAC" w:rsidP="000676D8">
            <w:pPr>
              <w:pStyle w:val="TableText"/>
              <w:jc w:val="center"/>
            </w:pPr>
          </w:p>
        </w:tc>
        <w:tc>
          <w:tcPr>
            <w:tcW w:w="546" w:type="dxa"/>
            <w:tcMar>
              <w:left w:w="28" w:type="dxa"/>
              <w:right w:w="28" w:type="dxa"/>
            </w:tcMar>
          </w:tcPr>
          <w:p w14:paraId="2BAD49F6" w14:textId="77777777" w:rsidR="00BB0CAC" w:rsidRDefault="00BB0CAC" w:rsidP="000676D8">
            <w:pPr>
              <w:pStyle w:val="TableText"/>
              <w:jc w:val="center"/>
            </w:pPr>
          </w:p>
        </w:tc>
        <w:tc>
          <w:tcPr>
            <w:tcW w:w="756" w:type="dxa"/>
            <w:tcMar>
              <w:left w:w="28" w:type="dxa"/>
              <w:right w:w="28" w:type="dxa"/>
            </w:tcMar>
          </w:tcPr>
          <w:p w14:paraId="31FB1CE3" w14:textId="77777777" w:rsidR="00BB0CAC" w:rsidRDefault="00BB0CAC" w:rsidP="000676D8">
            <w:pPr>
              <w:pStyle w:val="TableText"/>
              <w:jc w:val="center"/>
            </w:pPr>
          </w:p>
        </w:tc>
        <w:tc>
          <w:tcPr>
            <w:tcW w:w="686" w:type="dxa"/>
            <w:tcMar>
              <w:left w:w="28" w:type="dxa"/>
              <w:right w:w="28" w:type="dxa"/>
            </w:tcMar>
          </w:tcPr>
          <w:p w14:paraId="099004FD" w14:textId="77777777" w:rsidR="00BB0CAC" w:rsidRDefault="00BB0CAC" w:rsidP="000676D8">
            <w:pPr>
              <w:pStyle w:val="TableText"/>
              <w:jc w:val="center"/>
            </w:pPr>
          </w:p>
        </w:tc>
        <w:tc>
          <w:tcPr>
            <w:tcW w:w="1022" w:type="dxa"/>
            <w:tcMar>
              <w:left w:w="28" w:type="dxa"/>
              <w:right w:w="28" w:type="dxa"/>
            </w:tcMar>
          </w:tcPr>
          <w:p w14:paraId="751C0D30" w14:textId="77777777" w:rsidR="00BB0CAC" w:rsidRDefault="00BB0CAC" w:rsidP="000676D8">
            <w:pPr>
              <w:pStyle w:val="TableText"/>
              <w:jc w:val="center"/>
            </w:pPr>
            <w:r w:rsidRPr="00E07D02">
              <w:rPr>
                <w:rFonts w:ascii="Wingdings" w:hAnsi="Wingdings"/>
              </w:rPr>
              <w:t></w:t>
            </w:r>
          </w:p>
        </w:tc>
      </w:tr>
      <w:tr w:rsidR="00BB0CAC" w:rsidRPr="00844BF8" w14:paraId="4771AEFD" w14:textId="77777777" w:rsidTr="008C1748">
        <w:trPr>
          <w:trHeight w:val="511"/>
        </w:trPr>
        <w:tc>
          <w:tcPr>
            <w:tcW w:w="2548" w:type="dxa"/>
          </w:tcPr>
          <w:p w14:paraId="4A2A20E0" w14:textId="77777777" w:rsidR="00BB0CAC" w:rsidRDefault="00BB0CAC" w:rsidP="000676D8">
            <w:pPr>
              <w:pStyle w:val="TableText"/>
            </w:pPr>
            <w:proofErr w:type="spellStart"/>
            <w:r w:rsidRPr="00844BF8">
              <w:t>KiwiSaver</w:t>
            </w:r>
            <w:proofErr w:type="spellEnd"/>
            <w:r w:rsidRPr="00844BF8">
              <w:t xml:space="preserve"> tax credits</w:t>
            </w:r>
          </w:p>
        </w:tc>
        <w:tc>
          <w:tcPr>
            <w:tcW w:w="1652" w:type="dxa"/>
          </w:tcPr>
          <w:p w14:paraId="4D3C1EEB" w14:textId="77777777" w:rsidR="00BB0CAC" w:rsidRDefault="00BB0CAC" w:rsidP="000676D8">
            <w:pPr>
              <w:pStyle w:val="TableText"/>
              <w:rPr>
                <w:i/>
              </w:rPr>
            </w:pPr>
            <w:r w:rsidRPr="00194CB3">
              <w:rPr>
                <w:i/>
              </w:rPr>
              <w:t>Section MK 1-8</w:t>
            </w:r>
          </w:p>
        </w:tc>
        <w:tc>
          <w:tcPr>
            <w:tcW w:w="5865" w:type="dxa"/>
          </w:tcPr>
          <w:p w14:paraId="167B0CA4" w14:textId="77777777" w:rsidR="00BB0CAC" w:rsidRDefault="00BB0CAC" w:rsidP="000676D8">
            <w:pPr>
              <w:pStyle w:val="TableText"/>
              <w:rPr>
                <w:szCs w:val="16"/>
              </w:rPr>
            </w:pPr>
            <w:r w:rsidRPr="00CD766A">
              <w:rPr>
                <w:szCs w:val="16"/>
              </w:rPr>
              <w:t xml:space="preserve">The savings of participants in the </w:t>
            </w:r>
            <w:proofErr w:type="spellStart"/>
            <w:r w:rsidRPr="00CD766A">
              <w:rPr>
                <w:szCs w:val="16"/>
              </w:rPr>
              <w:t>KiwiSaver</w:t>
            </w:r>
            <w:proofErr w:type="spellEnd"/>
            <w:r w:rsidRPr="00CD766A">
              <w:rPr>
                <w:szCs w:val="16"/>
              </w:rPr>
              <w:t xml:space="preserve"> scheme are entitled to a tax credit. </w:t>
            </w:r>
          </w:p>
        </w:tc>
        <w:tc>
          <w:tcPr>
            <w:tcW w:w="574" w:type="dxa"/>
            <w:tcMar>
              <w:left w:w="28" w:type="dxa"/>
              <w:right w:w="28" w:type="dxa"/>
            </w:tcMar>
          </w:tcPr>
          <w:p w14:paraId="09A0BF4E"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76D7D100" w14:textId="77777777" w:rsidR="00BB0CAC" w:rsidRDefault="00BB0CAC" w:rsidP="000676D8">
            <w:pPr>
              <w:pStyle w:val="TableText"/>
              <w:jc w:val="center"/>
            </w:pPr>
          </w:p>
        </w:tc>
        <w:tc>
          <w:tcPr>
            <w:tcW w:w="546" w:type="dxa"/>
            <w:tcMar>
              <w:left w:w="28" w:type="dxa"/>
              <w:right w:w="28" w:type="dxa"/>
            </w:tcMar>
          </w:tcPr>
          <w:p w14:paraId="5079D9A5" w14:textId="77777777" w:rsidR="00BB0CAC" w:rsidRDefault="00BB0CAC" w:rsidP="000676D8">
            <w:pPr>
              <w:pStyle w:val="TableText"/>
              <w:jc w:val="center"/>
            </w:pPr>
          </w:p>
        </w:tc>
        <w:tc>
          <w:tcPr>
            <w:tcW w:w="756" w:type="dxa"/>
            <w:tcMar>
              <w:left w:w="28" w:type="dxa"/>
              <w:right w:w="28" w:type="dxa"/>
            </w:tcMar>
          </w:tcPr>
          <w:p w14:paraId="6D9F7777" w14:textId="77777777" w:rsidR="00BB0CAC" w:rsidRDefault="00BB0CAC" w:rsidP="000676D8">
            <w:pPr>
              <w:pStyle w:val="TableText"/>
              <w:jc w:val="center"/>
            </w:pPr>
          </w:p>
        </w:tc>
        <w:tc>
          <w:tcPr>
            <w:tcW w:w="686" w:type="dxa"/>
            <w:tcMar>
              <w:left w:w="28" w:type="dxa"/>
              <w:right w:w="28" w:type="dxa"/>
            </w:tcMar>
          </w:tcPr>
          <w:p w14:paraId="19B6F8FC" w14:textId="77777777" w:rsidR="00BB0CAC" w:rsidRDefault="00BB0CAC" w:rsidP="000676D8">
            <w:pPr>
              <w:pStyle w:val="TableText"/>
              <w:jc w:val="center"/>
            </w:pPr>
          </w:p>
        </w:tc>
        <w:tc>
          <w:tcPr>
            <w:tcW w:w="1022" w:type="dxa"/>
            <w:tcMar>
              <w:left w:w="28" w:type="dxa"/>
              <w:right w:w="28" w:type="dxa"/>
            </w:tcMar>
          </w:tcPr>
          <w:p w14:paraId="1B7A8CA1" w14:textId="77777777" w:rsidR="00BB0CAC" w:rsidRDefault="00BB0CAC" w:rsidP="000676D8">
            <w:pPr>
              <w:pStyle w:val="TableText"/>
              <w:jc w:val="center"/>
            </w:pPr>
            <w:r w:rsidRPr="00E07D02">
              <w:rPr>
                <w:rFonts w:ascii="Wingdings" w:hAnsi="Wingdings"/>
              </w:rPr>
              <w:t></w:t>
            </w:r>
          </w:p>
        </w:tc>
      </w:tr>
      <w:tr w:rsidR="00BB0CAC" w:rsidRPr="00844BF8" w14:paraId="39C5C43F" w14:textId="77777777" w:rsidTr="008C1748">
        <w:trPr>
          <w:trHeight w:val="370"/>
        </w:trPr>
        <w:tc>
          <w:tcPr>
            <w:tcW w:w="2548" w:type="dxa"/>
          </w:tcPr>
          <w:p w14:paraId="6F530A15" w14:textId="77777777" w:rsidR="00BB0CAC" w:rsidRDefault="00BB0CAC" w:rsidP="000676D8">
            <w:pPr>
              <w:pStyle w:val="TableText"/>
            </w:pPr>
            <w:r w:rsidRPr="00844BF8">
              <w:t>Parental tax credit</w:t>
            </w:r>
          </w:p>
        </w:tc>
        <w:tc>
          <w:tcPr>
            <w:tcW w:w="1652" w:type="dxa"/>
          </w:tcPr>
          <w:p w14:paraId="5FB6B03A" w14:textId="77777777" w:rsidR="00BB0CAC" w:rsidRDefault="00BB0CAC" w:rsidP="000676D8">
            <w:pPr>
              <w:pStyle w:val="TableText"/>
              <w:rPr>
                <w:rFonts w:cs="Arial"/>
                <w:i/>
              </w:rPr>
            </w:pPr>
            <w:r w:rsidRPr="00194CB3">
              <w:rPr>
                <w:i/>
              </w:rPr>
              <w:t>Section MD 12</w:t>
            </w:r>
          </w:p>
        </w:tc>
        <w:tc>
          <w:tcPr>
            <w:tcW w:w="5865" w:type="dxa"/>
          </w:tcPr>
          <w:p w14:paraId="7E9390C9" w14:textId="77777777" w:rsidR="00BB0CAC" w:rsidRDefault="00BB0CAC" w:rsidP="000676D8">
            <w:pPr>
              <w:pStyle w:val="TableText"/>
              <w:rPr>
                <w:rFonts w:cs="Arial"/>
                <w:szCs w:val="16"/>
              </w:rPr>
            </w:pPr>
            <w:r w:rsidRPr="00CD766A">
              <w:rPr>
                <w:rFonts w:cs="Arial"/>
                <w:szCs w:val="16"/>
              </w:rPr>
              <w:t xml:space="preserve">A tax credit may, under certain conditions, be paid to families with a </w:t>
            </w:r>
            <w:proofErr w:type="spellStart"/>
            <w:r w:rsidRPr="00CD766A">
              <w:rPr>
                <w:rFonts w:cs="Arial"/>
                <w:szCs w:val="16"/>
              </w:rPr>
              <w:t>newborn</w:t>
            </w:r>
            <w:proofErr w:type="spellEnd"/>
            <w:r w:rsidRPr="00CD766A">
              <w:rPr>
                <w:rFonts w:cs="Arial"/>
                <w:szCs w:val="16"/>
              </w:rPr>
              <w:t xml:space="preserve"> baby for the first 56 days (eight weeks) after the baby is born.</w:t>
            </w:r>
          </w:p>
        </w:tc>
        <w:tc>
          <w:tcPr>
            <w:tcW w:w="574" w:type="dxa"/>
            <w:tcMar>
              <w:left w:w="28" w:type="dxa"/>
              <w:right w:w="28" w:type="dxa"/>
            </w:tcMar>
          </w:tcPr>
          <w:p w14:paraId="7E26688D"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2285DB0A" w14:textId="77777777" w:rsidR="00BB0CAC" w:rsidRDefault="00BB0CAC" w:rsidP="000676D8">
            <w:pPr>
              <w:pStyle w:val="TableText"/>
              <w:jc w:val="center"/>
            </w:pPr>
          </w:p>
        </w:tc>
        <w:tc>
          <w:tcPr>
            <w:tcW w:w="546" w:type="dxa"/>
            <w:tcMar>
              <w:left w:w="28" w:type="dxa"/>
              <w:right w:w="28" w:type="dxa"/>
            </w:tcMar>
          </w:tcPr>
          <w:p w14:paraId="0430E52E" w14:textId="77777777" w:rsidR="00BB0CAC" w:rsidRDefault="00BB0CAC" w:rsidP="000676D8">
            <w:pPr>
              <w:pStyle w:val="TableText"/>
              <w:jc w:val="center"/>
            </w:pPr>
          </w:p>
        </w:tc>
        <w:tc>
          <w:tcPr>
            <w:tcW w:w="756" w:type="dxa"/>
            <w:tcMar>
              <w:left w:w="28" w:type="dxa"/>
              <w:right w:w="28" w:type="dxa"/>
            </w:tcMar>
          </w:tcPr>
          <w:p w14:paraId="62D4C151" w14:textId="77777777" w:rsidR="00BB0CAC" w:rsidRDefault="00BB0CAC" w:rsidP="000676D8">
            <w:pPr>
              <w:pStyle w:val="TableText"/>
              <w:jc w:val="center"/>
            </w:pPr>
          </w:p>
        </w:tc>
        <w:tc>
          <w:tcPr>
            <w:tcW w:w="686" w:type="dxa"/>
            <w:tcMar>
              <w:left w:w="28" w:type="dxa"/>
              <w:right w:w="28" w:type="dxa"/>
            </w:tcMar>
          </w:tcPr>
          <w:p w14:paraId="170935B1" w14:textId="77777777" w:rsidR="00BB0CAC" w:rsidRDefault="00BB0CAC" w:rsidP="000676D8">
            <w:pPr>
              <w:pStyle w:val="TableText"/>
              <w:jc w:val="center"/>
            </w:pPr>
          </w:p>
        </w:tc>
        <w:tc>
          <w:tcPr>
            <w:tcW w:w="1022" w:type="dxa"/>
            <w:tcMar>
              <w:left w:w="28" w:type="dxa"/>
              <w:right w:w="28" w:type="dxa"/>
            </w:tcMar>
          </w:tcPr>
          <w:p w14:paraId="575D850A" w14:textId="77777777" w:rsidR="00BB0CAC" w:rsidRDefault="00BB0CAC" w:rsidP="000676D8">
            <w:pPr>
              <w:pStyle w:val="TableText"/>
              <w:jc w:val="center"/>
            </w:pPr>
            <w:r w:rsidRPr="00E07D02">
              <w:rPr>
                <w:rFonts w:ascii="Wingdings" w:hAnsi="Wingdings"/>
              </w:rPr>
              <w:t></w:t>
            </w:r>
          </w:p>
        </w:tc>
      </w:tr>
      <w:tr w:rsidR="00BB0CAC" w:rsidRPr="00844BF8" w14:paraId="1639538B" w14:textId="77777777" w:rsidTr="00FA1438">
        <w:trPr>
          <w:trHeight w:val="454"/>
        </w:trPr>
        <w:tc>
          <w:tcPr>
            <w:tcW w:w="2548" w:type="dxa"/>
          </w:tcPr>
          <w:p w14:paraId="73068923" w14:textId="77777777" w:rsidR="00BB0CAC" w:rsidRDefault="00BB0CAC" w:rsidP="000676D8">
            <w:pPr>
              <w:pStyle w:val="TableText"/>
            </w:pPr>
            <w:r w:rsidRPr="00844BF8">
              <w:t xml:space="preserve">Minimum family tax credit </w:t>
            </w:r>
          </w:p>
        </w:tc>
        <w:tc>
          <w:tcPr>
            <w:tcW w:w="1652" w:type="dxa"/>
          </w:tcPr>
          <w:p w14:paraId="5CC80544" w14:textId="77777777" w:rsidR="00BB0CAC" w:rsidRDefault="00BB0CAC" w:rsidP="000676D8">
            <w:pPr>
              <w:pStyle w:val="TableText"/>
              <w:rPr>
                <w:rFonts w:cs="Arial"/>
                <w:i/>
              </w:rPr>
            </w:pPr>
            <w:r w:rsidRPr="00194CB3">
              <w:rPr>
                <w:i/>
              </w:rPr>
              <w:t>Section ME 1</w:t>
            </w:r>
          </w:p>
        </w:tc>
        <w:tc>
          <w:tcPr>
            <w:tcW w:w="5865" w:type="dxa"/>
          </w:tcPr>
          <w:p w14:paraId="007EDDCB" w14:textId="77777777" w:rsidR="00BB0CAC" w:rsidRDefault="00BB0CAC" w:rsidP="000676D8">
            <w:pPr>
              <w:pStyle w:val="TableText"/>
              <w:rPr>
                <w:i/>
                <w:szCs w:val="16"/>
              </w:rPr>
            </w:pPr>
            <w:r w:rsidRPr="00CD766A">
              <w:rPr>
                <w:szCs w:val="16"/>
              </w:rPr>
              <w:t>A tax credit may be available to ensure that the annual income (after tax) of a family with dependent children 18 or younger does not fall below $22,776.</w:t>
            </w:r>
          </w:p>
        </w:tc>
        <w:tc>
          <w:tcPr>
            <w:tcW w:w="574" w:type="dxa"/>
            <w:tcMar>
              <w:left w:w="28" w:type="dxa"/>
              <w:right w:w="28" w:type="dxa"/>
            </w:tcMar>
          </w:tcPr>
          <w:p w14:paraId="1E0F714A" w14:textId="77777777" w:rsidR="00BB0CAC" w:rsidRDefault="00BB0CAC" w:rsidP="000676D8">
            <w:pPr>
              <w:pStyle w:val="TableText"/>
              <w:jc w:val="center"/>
            </w:pPr>
            <w:r w:rsidRPr="00E07D02">
              <w:rPr>
                <w:rFonts w:ascii="Wingdings" w:hAnsi="Wingdings"/>
              </w:rPr>
              <w:t></w:t>
            </w:r>
          </w:p>
        </w:tc>
        <w:tc>
          <w:tcPr>
            <w:tcW w:w="839" w:type="dxa"/>
            <w:tcMar>
              <w:left w:w="28" w:type="dxa"/>
              <w:right w:w="28" w:type="dxa"/>
            </w:tcMar>
          </w:tcPr>
          <w:p w14:paraId="5179F4BB" w14:textId="77777777" w:rsidR="00BB0CAC" w:rsidRDefault="00BB0CAC" w:rsidP="000676D8">
            <w:pPr>
              <w:pStyle w:val="TableText"/>
              <w:jc w:val="center"/>
            </w:pPr>
          </w:p>
        </w:tc>
        <w:tc>
          <w:tcPr>
            <w:tcW w:w="546" w:type="dxa"/>
            <w:tcMar>
              <w:left w:w="28" w:type="dxa"/>
              <w:right w:w="28" w:type="dxa"/>
            </w:tcMar>
          </w:tcPr>
          <w:p w14:paraId="4EAE8EE6" w14:textId="77777777" w:rsidR="00BB0CAC" w:rsidRDefault="00BB0CAC" w:rsidP="000676D8">
            <w:pPr>
              <w:pStyle w:val="TableText"/>
              <w:jc w:val="center"/>
            </w:pPr>
          </w:p>
        </w:tc>
        <w:tc>
          <w:tcPr>
            <w:tcW w:w="756" w:type="dxa"/>
            <w:tcMar>
              <w:left w:w="28" w:type="dxa"/>
              <w:right w:w="28" w:type="dxa"/>
            </w:tcMar>
          </w:tcPr>
          <w:p w14:paraId="19ACF15D" w14:textId="77777777" w:rsidR="00BB0CAC" w:rsidRDefault="00BB0CAC" w:rsidP="000676D8">
            <w:pPr>
              <w:pStyle w:val="TableText"/>
              <w:jc w:val="center"/>
            </w:pPr>
          </w:p>
        </w:tc>
        <w:tc>
          <w:tcPr>
            <w:tcW w:w="686" w:type="dxa"/>
            <w:tcMar>
              <w:left w:w="28" w:type="dxa"/>
              <w:right w:w="28" w:type="dxa"/>
            </w:tcMar>
          </w:tcPr>
          <w:p w14:paraId="1AB42E2A" w14:textId="77777777" w:rsidR="00BB0CAC" w:rsidRDefault="00BB0CAC" w:rsidP="000676D8">
            <w:pPr>
              <w:pStyle w:val="TableText"/>
              <w:jc w:val="center"/>
            </w:pPr>
          </w:p>
        </w:tc>
        <w:tc>
          <w:tcPr>
            <w:tcW w:w="1022" w:type="dxa"/>
            <w:tcMar>
              <w:left w:w="28" w:type="dxa"/>
              <w:right w:w="28" w:type="dxa"/>
            </w:tcMar>
          </w:tcPr>
          <w:p w14:paraId="0D5BCFA3" w14:textId="77777777" w:rsidR="00BB0CAC" w:rsidRDefault="00BB0CAC" w:rsidP="000676D8">
            <w:pPr>
              <w:pStyle w:val="TableText"/>
              <w:jc w:val="center"/>
            </w:pPr>
            <w:r w:rsidRPr="00E07D02">
              <w:rPr>
                <w:rFonts w:ascii="Wingdings" w:hAnsi="Wingdings"/>
              </w:rPr>
              <w:t></w:t>
            </w:r>
          </w:p>
        </w:tc>
      </w:tr>
      <w:tr w:rsidR="003B62B0" w:rsidRPr="00844BF8" w14:paraId="0A17E25C" w14:textId="77777777" w:rsidTr="008C1748">
        <w:trPr>
          <w:trHeight w:val="613"/>
        </w:trPr>
        <w:tc>
          <w:tcPr>
            <w:tcW w:w="2548" w:type="dxa"/>
          </w:tcPr>
          <w:p w14:paraId="7EA9753B" w14:textId="142C3F00" w:rsidR="003B62B0" w:rsidRPr="00844BF8" w:rsidRDefault="003B62B0" w:rsidP="000676D8">
            <w:pPr>
              <w:pStyle w:val="TableText"/>
            </w:pPr>
            <w:r>
              <w:t>Best Start tax credit</w:t>
            </w:r>
            <w:r>
              <w:rPr>
                <w:rStyle w:val="FootnoteReference"/>
              </w:rPr>
              <w:footnoteReference w:id="5"/>
            </w:r>
          </w:p>
        </w:tc>
        <w:tc>
          <w:tcPr>
            <w:tcW w:w="1652" w:type="dxa"/>
          </w:tcPr>
          <w:p w14:paraId="46034647" w14:textId="78B00E80" w:rsidR="003B62B0" w:rsidRPr="00194CB3" w:rsidRDefault="003B62B0" w:rsidP="000676D8">
            <w:pPr>
              <w:pStyle w:val="TableText"/>
              <w:rPr>
                <w:i/>
              </w:rPr>
            </w:pPr>
            <w:r>
              <w:rPr>
                <w:i/>
              </w:rPr>
              <w:t>Section MG</w:t>
            </w:r>
          </w:p>
        </w:tc>
        <w:tc>
          <w:tcPr>
            <w:tcW w:w="5865" w:type="dxa"/>
          </w:tcPr>
          <w:p w14:paraId="06ABF6BA" w14:textId="76353DB9" w:rsidR="003B62B0" w:rsidRPr="00CD766A" w:rsidRDefault="000B26ED" w:rsidP="000B26ED">
            <w:pPr>
              <w:pStyle w:val="TableText"/>
              <w:rPr>
                <w:szCs w:val="16"/>
              </w:rPr>
            </w:pPr>
            <w:r>
              <w:rPr>
                <w:szCs w:val="16"/>
              </w:rPr>
              <w:t>From 1 July 2018, families are entitled to a tax credit for the first year of a child’s life. The credit may, under certain conditions, continue to be paid to families with a dependent child until the child turns three years old.</w:t>
            </w:r>
          </w:p>
        </w:tc>
        <w:tc>
          <w:tcPr>
            <w:tcW w:w="574" w:type="dxa"/>
            <w:tcMar>
              <w:left w:w="28" w:type="dxa"/>
              <w:right w:w="28" w:type="dxa"/>
            </w:tcMar>
          </w:tcPr>
          <w:p w14:paraId="0E24E463" w14:textId="69941247" w:rsidR="003B62B0" w:rsidRPr="00E07D02" w:rsidRDefault="003B62B0" w:rsidP="000676D8">
            <w:pPr>
              <w:pStyle w:val="TableText"/>
              <w:jc w:val="center"/>
              <w:rPr>
                <w:rFonts w:ascii="Wingdings" w:hAnsi="Wingdings"/>
              </w:rPr>
            </w:pPr>
            <w:r w:rsidRPr="00E07D02">
              <w:rPr>
                <w:rFonts w:ascii="Wingdings" w:hAnsi="Wingdings"/>
              </w:rPr>
              <w:t></w:t>
            </w:r>
          </w:p>
        </w:tc>
        <w:tc>
          <w:tcPr>
            <w:tcW w:w="839" w:type="dxa"/>
            <w:tcMar>
              <w:left w:w="28" w:type="dxa"/>
              <w:right w:w="28" w:type="dxa"/>
            </w:tcMar>
          </w:tcPr>
          <w:p w14:paraId="385A60E3" w14:textId="77777777" w:rsidR="003B62B0" w:rsidRDefault="003B62B0" w:rsidP="000676D8">
            <w:pPr>
              <w:pStyle w:val="TableText"/>
              <w:jc w:val="center"/>
            </w:pPr>
          </w:p>
        </w:tc>
        <w:tc>
          <w:tcPr>
            <w:tcW w:w="546" w:type="dxa"/>
            <w:tcMar>
              <w:left w:w="28" w:type="dxa"/>
              <w:right w:w="28" w:type="dxa"/>
            </w:tcMar>
          </w:tcPr>
          <w:p w14:paraId="7E43C3C5" w14:textId="77777777" w:rsidR="003B62B0" w:rsidRDefault="003B62B0" w:rsidP="000676D8">
            <w:pPr>
              <w:pStyle w:val="TableText"/>
              <w:jc w:val="center"/>
            </w:pPr>
          </w:p>
        </w:tc>
        <w:tc>
          <w:tcPr>
            <w:tcW w:w="756" w:type="dxa"/>
            <w:tcMar>
              <w:left w:w="28" w:type="dxa"/>
              <w:right w:w="28" w:type="dxa"/>
            </w:tcMar>
          </w:tcPr>
          <w:p w14:paraId="08BA5E92" w14:textId="77777777" w:rsidR="003B62B0" w:rsidRDefault="003B62B0" w:rsidP="000676D8">
            <w:pPr>
              <w:pStyle w:val="TableText"/>
              <w:jc w:val="center"/>
            </w:pPr>
          </w:p>
        </w:tc>
        <w:tc>
          <w:tcPr>
            <w:tcW w:w="686" w:type="dxa"/>
            <w:tcMar>
              <w:left w:w="28" w:type="dxa"/>
              <w:right w:w="28" w:type="dxa"/>
            </w:tcMar>
          </w:tcPr>
          <w:p w14:paraId="70CAC035" w14:textId="77777777" w:rsidR="003B62B0" w:rsidRDefault="003B62B0" w:rsidP="000676D8">
            <w:pPr>
              <w:pStyle w:val="TableText"/>
              <w:jc w:val="center"/>
            </w:pPr>
          </w:p>
        </w:tc>
        <w:tc>
          <w:tcPr>
            <w:tcW w:w="1022" w:type="dxa"/>
            <w:tcMar>
              <w:left w:w="28" w:type="dxa"/>
              <w:right w:w="28" w:type="dxa"/>
            </w:tcMar>
          </w:tcPr>
          <w:p w14:paraId="2D3CA1CC" w14:textId="708E0A40" w:rsidR="003B62B0" w:rsidRPr="00E07D02" w:rsidRDefault="003B62B0" w:rsidP="000676D8">
            <w:pPr>
              <w:pStyle w:val="TableText"/>
              <w:jc w:val="center"/>
              <w:rPr>
                <w:rFonts w:ascii="Wingdings" w:hAnsi="Wingdings"/>
              </w:rPr>
            </w:pPr>
            <w:r w:rsidRPr="00E07D02">
              <w:rPr>
                <w:rFonts w:ascii="Wingdings" w:hAnsi="Wingdings"/>
              </w:rPr>
              <w:t></w:t>
            </w:r>
          </w:p>
        </w:tc>
      </w:tr>
    </w:tbl>
    <w:p w14:paraId="4D86E836" w14:textId="7A63DB9B" w:rsidR="000C31BA" w:rsidRDefault="000C31BA" w:rsidP="008C1748">
      <w:pPr>
        <w:tabs>
          <w:tab w:val="left" w:pos="4958"/>
        </w:tabs>
        <w:spacing w:before="120" w:after="120"/>
      </w:pPr>
    </w:p>
    <w:p w14:paraId="1E18AAA7" w14:textId="10B98A85" w:rsidR="000C31BA" w:rsidRPr="00D66F4C" w:rsidRDefault="005270BB" w:rsidP="002323CD">
      <w:pPr>
        <w:pStyle w:val="Heading3"/>
      </w:pPr>
      <w:r w:rsidRPr="00D66F4C">
        <w:t>Table 5</w:t>
      </w:r>
      <w:r w:rsidR="000C31BA" w:rsidRPr="00D66F4C">
        <w:t>: Tax Expenditures Included in the Goods and Services Act 1985</w:t>
      </w:r>
    </w:p>
    <w:tbl>
      <w:tblPr>
        <w:tblW w:w="5163"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57" w:type="dxa"/>
          <w:right w:w="57" w:type="dxa"/>
        </w:tblCellMar>
        <w:tblLook w:val="04A0" w:firstRow="1" w:lastRow="0" w:firstColumn="1" w:lastColumn="0" w:noHBand="0" w:noVBand="1"/>
      </w:tblPr>
      <w:tblGrid>
        <w:gridCol w:w="2551"/>
        <w:gridCol w:w="1639"/>
        <w:gridCol w:w="2934"/>
        <w:gridCol w:w="2934"/>
        <w:gridCol w:w="567"/>
        <w:gridCol w:w="850"/>
        <w:gridCol w:w="569"/>
        <w:gridCol w:w="708"/>
        <w:gridCol w:w="711"/>
        <w:gridCol w:w="989"/>
      </w:tblGrid>
      <w:tr w:rsidR="000C31BA" w:rsidRPr="00315AC0" w14:paraId="0D1A4439" w14:textId="77777777" w:rsidTr="008C1748">
        <w:trPr>
          <w:tblHeader/>
        </w:trPr>
        <w:tc>
          <w:tcPr>
            <w:tcW w:w="883" w:type="pct"/>
            <w:vMerge w:val="restart"/>
            <w:vAlign w:val="bottom"/>
          </w:tcPr>
          <w:p w14:paraId="090CF05C" w14:textId="77777777" w:rsidR="000C31BA" w:rsidRPr="008C1748" w:rsidRDefault="000C31BA" w:rsidP="00947DE6">
            <w:pPr>
              <w:pStyle w:val="TableHeading"/>
            </w:pPr>
            <w:r w:rsidRPr="008C1748">
              <w:t>Tax Expenditure</w:t>
            </w:r>
          </w:p>
        </w:tc>
        <w:tc>
          <w:tcPr>
            <w:tcW w:w="567" w:type="pct"/>
            <w:vMerge w:val="restart"/>
            <w:vAlign w:val="bottom"/>
          </w:tcPr>
          <w:p w14:paraId="506DA9C0" w14:textId="77777777" w:rsidR="000C31BA" w:rsidRPr="008C1748" w:rsidRDefault="000C31BA" w:rsidP="00947DE6">
            <w:pPr>
              <w:pStyle w:val="TableHeading"/>
            </w:pPr>
            <w:r w:rsidRPr="008C1748">
              <w:t>Sections/</w:t>
            </w:r>
          </w:p>
          <w:p w14:paraId="1A160AA9" w14:textId="77777777" w:rsidR="000C31BA" w:rsidRPr="008C1748" w:rsidRDefault="000C31BA" w:rsidP="00947DE6">
            <w:pPr>
              <w:pStyle w:val="TableHeading"/>
              <w:rPr>
                <w:i/>
              </w:rPr>
            </w:pPr>
            <w:r w:rsidRPr="008C1748">
              <w:t>Classification</w:t>
            </w:r>
          </w:p>
        </w:tc>
        <w:tc>
          <w:tcPr>
            <w:tcW w:w="1015" w:type="pct"/>
            <w:vMerge w:val="restart"/>
            <w:vAlign w:val="bottom"/>
          </w:tcPr>
          <w:p w14:paraId="5AA3BC0D" w14:textId="77777777" w:rsidR="000C31BA" w:rsidRPr="008C1748" w:rsidRDefault="000C31BA" w:rsidP="00947DE6">
            <w:pPr>
              <w:pStyle w:val="TableHeading"/>
            </w:pPr>
            <w:r w:rsidRPr="008C1748">
              <w:t>Comment</w:t>
            </w:r>
          </w:p>
        </w:tc>
        <w:tc>
          <w:tcPr>
            <w:tcW w:w="1015" w:type="pct"/>
            <w:vMerge w:val="restart"/>
            <w:vAlign w:val="bottom"/>
          </w:tcPr>
          <w:p w14:paraId="56722393" w14:textId="77777777" w:rsidR="000C31BA" w:rsidRPr="008C1748" w:rsidRDefault="000C31BA" w:rsidP="00947DE6">
            <w:pPr>
              <w:pStyle w:val="TableHeading"/>
              <w:rPr>
                <w:rFonts w:cs="Arial"/>
              </w:rPr>
            </w:pPr>
            <w:r w:rsidRPr="008C1748">
              <w:t>Policy Rationale</w:t>
            </w:r>
          </w:p>
        </w:tc>
        <w:tc>
          <w:tcPr>
            <w:tcW w:w="687" w:type="pct"/>
            <w:gridSpan w:val="3"/>
            <w:tcMar>
              <w:left w:w="28" w:type="dxa"/>
              <w:right w:w="28" w:type="dxa"/>
            </w:tcMar>
          </w:tcPr>
          <w:p w14:paraId="73CBAAF8" w14:textId="77777777" w:rsidR="000C31BA" w:rsidRPr="00C779D3" w:rsidRDefault="000C31BA" w:rsidP="00947DE6">
            <w:pPr>
              <w:pStyle w:val="TableHeading"/>
              <w:jc w:val="center"/>
            </w:pPr>
            <w:r w:rsidRPr="00A96323">
              <w:t>Type</w:t>
            </w:r>
          </w:p>
        </w:tc>
        <w:tc>
          <w:tcPr>
            <w:tcW w:w="833" w:type="pct"/>
            <w:gridSpan w:val="3"/>
            <w:tcMar>
              <w:left w:w="28" w:type="dxa"/>
              <w:right w:w="28" w:type="dxa"/>
            </w:tcMar>
          </w:tcPr>
          <w:p w14:paraId="676AF3DD" w14:textId="77777777" w:rsidR="000C31BA" w:rsidRPr="00D66F4C" w:rsidRDefault="000C31BA" w:rsidP="00947DE6">
            <w:pPr>
              <w:pStyle w:val="TableHeading"/>
              <w:jc w:val="center"/>
              <w:rPr>
                <w:color w:val="2D6273"/>
              </w:rPr>
            </w:pPr>
            <w:r w:rsidRPr="008C1748">
              <w:t>Impact</w:t>
            </w:r>
          </w:p>
        </w:tc>
      </w:tr>
      <w:tr w:rsidR="000C31BA" w:rsidRPr="00315AC0" w14:paraId="29C8E297" w14:textId="77777777" w:rsidTr="008C1748">
        <w:trPr>
          <w:tblHeader/>
        </w:trPr>
        <w:tc>
          <w:tcPr>
            <w:tcW w:w="883" w:type="pct"/>
            <w:vMerge/>
          </w:tcPr>
          <w:p w14:paraId="43B7F781" w14:textId="77777777" w:rsidR="000C31BA" w:rsidRPr="00C779D3" w:rsidRDefault="000C31BA" w:rsidP="00947DE6">
            <w:pPr>
              <w:spacing w:line="220" w:lineRule="atLeast"/>
              <w:rPr>
                <w:spacing w:val="-2"/>
              </w:rPr>
            </w:pPr>
          </w:p>
        </w:tc>
        <w:tc>
          <w:tcPr>
            <w:tcW w:w="567" w:type="pct"/>
            <w:vMerge/>
          </w:tcPr>
          <w:p w14:paraId="039EDD91" w14:textId="77777777" w:rsidR="000C31BA" w:rsidRPr="00A96323" w:rsidRDefault="000C31BA" w:rsidP="00947DE6">
            <w:pPr>
              <w:spacing w:line="220" w:lineRule="atLeast"/>
              <w:rPr>
                <w:i/>
                <w:spacing w:val="-2"/>
              </w:rPr>
            </w:pPr>
          </w:p>
        </w:tc>
        <w:tc>
          <w:tcPr>
            <w:tcW w:w="1015" w:type="pct"/>
            <w:vMerge/>
          </w:tcPr>
          <w:p w14:paraId="00A6C504" w14:textId="77777777" w:rsidR="000C31BA" w:rsidRDefault="000C31BA" w:rsidP="00947DE6">
            <w:pPr>
              <w:spacing w:before="30" w:line="220" w:lineRule="atLeast"/>
              <w:rPr>
                <w:rFonts w:ascii="Arial Bold" w:hAnsi="Arial Bold"/>
                <w:color w:val="002060"/>
                <w:spacing w:val="-3"/>
              </w:rPr>
            </w:pPr>
          </w:p>
        </w:tc>
        <w:tc>
          <w:tcPr>
            <w:tcW w:w="1015" w:type="pct"/>
            <w:vMerge/>
          </w:tcPr>
          <w:p w14:paraId="18E0ECEB" w14:textId="77777777" w:rsidR="000C31BA" w:rsidRPr="00C253BC" w:rsidRDefault="000C31BA" w:rsidP="00947DE6">
            <w:pPr>
              <w:spacing w:afterLines="60" w:after="144" w:line="240" w:lineRule="atLeast"/>
              <w:jc w:val="center"/>
              <w:rPr>
                <w:rFonts w:cs="Arial"/>
                <w:color w:val="002060"/>
                <w:spacing w:val="-3"/>
              </w:rPr>
            </w:pPr>
          </w:p>
        </w:tc>
        <w:tc>
          <w:tcPr>
            <w:tcW w:w="196" w:type="pct"/>
            <w:tcMar>
              <w:left w:w="28" w:type="dxa"/>
              <w:right w:w="28" w:type="dxa"/>
            </w:tcMar>
          </w:tcPr>
          <w:p w14:paraId="07EDAB46" w14:textId="77777777" w:rsidR="000C31BA" w:rsidRPr="00C779D3" w:rsidRDefault="000C31BA" w:rsidP="00947DE6">
            <w:pPr>
              <w:pStyle w:val="TableHeading"/>
            </w:pPr>
            <w:r w:rsidRPr="00C779D3">
              <w:t>Social</w:t>
            </w:r>
          </w:p>
        </w:tc>
        <w:tc>
          <w:tcPr>
            <w:tcW w:w="294" w:type="pct"/>
            <w:tcMar>
              <w:left w:w="28" w:type="dxa"/>
              <w:right w:w="28" w:type="dxa"/>
            </w:tcMar>
          </w:tcPr>
          <w:p w14:paraId="43D04860" w14:textId="77777777" w:rsidR="000C31BA" w:rsidRPr="00C779D3" w:rsidRDefault="000C31BA" w:rsidP="00947DE6">
            <w:pPr>
              <w:pStyle w:val="TableHeading"/>
            </w:pPr>
            <w:r w:rsidRPr="00C779D3">
              <w:t>Business</w:t>
            </w:r>
          </w:p>
        </w:tc>
        <w:tc>
          <w:tcPr>
            <w:tcW w:w="197" w:type="pct"/>
            <w:tcMar>
              <w:left w:w="28" w:type="dxa"/>
              <w:right w:w="28" w:type="dxa"/>
            </w:tcMar>
          </w:tcPr>
          <w:p w14:paraId="287565F4" w14:textId="77777777" w:rsidR="000C31BA" w:rsidRPr="00C779D3" w:rsidRDefault="000C31BA" w:rsidP="00947DE6">
            <w:pPr>
              <w:pStyle w:val="TableHeading"/>
            </w:pPr>
            <w:r w:rsidRPr="00C779D3">
              <w:t>Other</w:t>
            </w:r>
          </w:p>
        </w:tc>
        <w:tc>
          <w:tcPr>
            <w:tcW w:w="245" w:type="pct"/>
            <w:tcMar>
              <w:left w:w="28" w:type="dxa"/>
              <w:right w:w="28" w:type="dxa"/>
            </w:tcMar>
          </w:tcPr>
          <w:p w14:paraId="3AD4FFFB" w14:textId="77777777" w:rsidR="000C31BA" w:rsidRPr="008C1748" w:rsidRDefault="000C31BA" w:rsidP="00947DE6">
            <w:pPr>
              <w:pStyle w:val="TableHeading"/>
            </w:pPr>
            <w:r w:rsidRPr="008C1748">
              <w:t>Historic</w:t>
            </w:r>
          </w:p>
        </w:tc>
        <w:tc>
          <w:tcPr>
            <w:tcW w:w="246" w:type="pct"/>
            <w:tcMar>
              <w:left w:w="28" w:type="dxa"/>
              <w:right w:w="28" w:type="dxa"/>
            </w:tcMar>
          </w:tcPr>
          <w:p w14:paraId="186D1ED2" w14:textId="77777777" w:rsidR="000C31BA" w:rsidRPr="008C1748" w:rsidRDefault="000C31BA" w:rsidP="00947DE6">
            <w:pPr>
              <w:pStyle w:val="TableHeading"/>
            </w:pPr>
            <w:r w:rsidRPr="008C1748">
              <w:t>Timing</w:t>
            </w:r>
          </w:p>
        </w:tc>
        <w:tc>
          <w:tcPr>
            <w:tcW w:w="342" w:type="pct"/>
            <w:tcMar>
              <w:left w:w="28" w:type="dxa"/>
              <w:right w:w="28" w:type="dxa"/>
            </w:tcMar>
          </w:tcPr>
          <w:p w14:paraId="2D442193" w14:textId="77777777" w:rsidR="000C31BA" w:rsidRPr="008C1748" w:rsidRDefault="000C31BA" w:rsidP="00947DE6">
            <w:pPr>
              <w:pStyle w:val="TableHeading"/>
            </w:pPr>
            <w:r w:rsidRPr="008C1748">
              <w:t>Permanent</w:t>
            </w:r>
          </w:p>
        </w:tc>
      </w:tr>
      <w:tr w:rsidR="005270BB" w:rsidRPr="0000034F" w14:paraId="52DED69B" w14:textId="77777777" w:rsidTr="008C1748">
        <w:tc>
          <w:tcPr>
            <w:tcW w:w="883" w:type="pct"/>
          </w:tcPr>
          <w:p w14:paraId="1AA97AB2" w14:textId="38B932DF" w:rsidR="005270BB" w:rsidRPr="000C31BA" w:rsidRDefault="005270BB" w:rsidP="005270BB">
            <w:pPr>
              <w:pStyle w:val="TableText"/>
            </w:pPr>
            <w:r>
              <w:t>Input tax (GST) recovered by registered non-profit bodies</w:t>
            </w:r>
          </w:p>
        </w:tc>
        <w:tc>
          <w:tcPr>
            <w:tcW w:w="567" w:type="pct"/>
          </w:tcPr>
          <w:p w14:paraId="33E16629" w14:textId="77777777" w:rsidR="005270BB" w:rsidRDefault="005270BB" w:rsidP="005270BB">
            <w:pPr>
              <w:pStyle w:val="TableText"/>
              <w:rPr>
                <w:i/>
              </w:rPr>
            </w:pPr>
            <w:r w:rsidRPr="000C31BA">
              <w:rPr>
                <w:i/>
              </w:rPr>
              <w:t>Section 20 3K</w:t>
            </w:r>
          </w:p>
          <w:p w14:paraId="691E2E92" w14:textId="004432ED" w:rsidR="005270BB" w:rsidRPr="000C31BA" w:rsidRDefault="005270BB" w:rsidP="005270BB">
            <w:pPr>
              <w:pStyle w:val="TableText"/>
              <w:rPr>
                <w:rStyle w:val="Emphasis"/>
                <w:i w:val="0"/>
              </w:rPr>
            </w:pPr>
            <w:r w:rsidRPr="00A96323">
              <w:rPr>
                <w:rFonts w:cs="Arial"/>
                <w:i/>
                <w:szCs w:val="22"/>
              </w:rPr>
              <w:t>-</w:t>
            </w:r>
            <w:r w:rsidR="007F5C07">
              <w:rPr>
                <w:rFonts w:cs="Arial"/>
                <w:i/>
                <w:szCs w:val="22"/>
              </w:rPr>
              <w:t>Deduction</w:t>
            </w:r>
          </w:p>
        </w:tc>
        <w:tc>
          <w:tcPr>
            <w:tcW w:w="1015" w:type="pct"/>
          </w:tcPr>
          <w:p w14:paraId="45ED7CDE" w14:textId="7AC021C1" w:rsidR="005270BB" w:rsidRPr="000C31BA" w:rsidRDefault="005270BB" w:rsidP="005270BB">
            <w:pPr>
              <w:pStyle w:val="TableText"/>
            </w:pPr>
            <w:r>
              <w:t>GST input tax is able to be recovered where the input tax does not factually relate to taxable supplies made by a non-profit body</w:t>
            </w:r>
            <w:r w:rsidR="000C5F94">
              <w:t>.</w:t>
            </w:r>
          </w:p>
        </w:tc>
        <w:tc>
          <w:tcPr>
            <w:tcW w:w="1015" w:type="pct"/>
          </w:tcPr>
          <w:p w14:paraId="1279790B" w14:textId="19BD8569" w:rsidR="005270BB" w:rsidRPr="000C31BA" w:rsidRDefault="005270BB" w:rsidP="005270BB">
            <w:pPr>
              <w:pStyle w:val="TableText"/>
              <w:rPr>
                <w:rFonts w:cs="Arial"/>
              </w:rPr>
            </w:pPr>
            <w:r>
              <w:rPr>
                <w:rFonts w:cs="Arial"/>
              </w:rPr>
              <w:t>Except for input tax relating to exempt supplies, a non-profit body should be able to recover all other input tax whether or not it relates to the making of taxable supplies.</w:t>
            </w:r>
          </w:p>
        </w:tc>
        <w:tc>
          <w:tcPr>
            <w:tcW w:w="196" w:type="pct"/>
            <w:tcMar>
              <w:left w:w="28" w:type="dxa"/>
              <w:right w:w="28" w:type="dxa"/>
            </w:tcMar>
          </w:tcPr>
          <w:p w14:paraId="59255870" w14:textId="3AC68914" w:rsidR="005270BB" w:rsidRPr="000C31BA" w:rsidRDefault="005270BB" w:rsidP="005270BB">
            <w:pPr>
              <w:pStyle w:val="TableText"/>
              <w:jc w:val="center"/>
            </w:pPr>
          </w:p>
        </w:tc>
        <w:tc>
          <w:tcPr>
            <w:tcW w:w="294" w:type="pct"/>
            <w:tcMar>
              <w:left w:w="28" w:type="dxa"/>
              <w:right w:w="28" w:type="dxa"/>
            </w:tcMar>
          </w:tcPr>
          <w:p w14:paraId="08BE986F" w14:textId="33673C03" w:rsidR="005270BB" w:rsidRPr="000C31BA" w:rsidRDefault="005270BB" w:rsidP="005270BB">
            <w:pPr>
              <w:pStyle w:val="TableText"/>
              <w:jc w:val="center"/>
            </w:pPr>
          </w:p>
        </w:tc>
        <w:tc>
          <w:tcPr>
            <w:tcW w:w="197" w:type="pct"/>
            <w:tcMar>
              <w:left w:w="28" w:type="dxa"/>
              <w:right w:w="28" w:type="dxa"/>
            </w:tcMar>
          </w:tcPr>
          <w:p w14:paraId="12EA8257" w14:textId="6D859530" w:rsidR="005270BB" w:rsidRPr="000C31BA" w:rsidRDefault="005270BB" w:rsidP="005270BB">
            <w:pPr>
              <w:pStyle w:val="TableText"/>
              <w:jc w:val="center"/>
            </w:pPr>
            <w:r w:rsidRPr="00E07D02">
              <w:rPr>
                <w:rFonts w:ascii="Wingdings" w:hAnsi="Wingdings"/>
              </w:rPr>
              <w:t></w:t>
            </w:r>
          </w:p>
        </w:tc>
        <w:tc>
          <w:tcPr>
            <w:tcW w:w="245" w:type="pct"/>
            <w:tcMar>
              <w:left w:w="28" w:type="dxa"/>
              <w:right w:w="28" w:type="dxa"/>
            </w:tcMar>
          </w:tcPr>
          <w:p w14:paraId="4996F6EE" w14:textId="03BAE170" w:rsidR="005270BB" w:rsidRPr="000C31BA" w:rsidRDefault="005270BB" w:rsidP="005270BB">
            <w:pPr>
              <w:pStyle w:val="TableText"/>
              <w:jc w:val="center"/>
            </w:pPr>
          </w:p>
        </w:tc>
        <w:tc>
          <w:tcPr>
            <w:tcW w:w="246" w:type="pct"/>
            <w:tcMar>
              <w:left w:w="28" w:type="dxa"/>
              <w:right w:w="28" w:type="dxa"/>
            </w:tcMar>
          </w:tcPr>
          <w:p w14:paraId="3F8BF28F" w14:textId="10C8D5B3" w:rsidR="005270BB" w:rsidRPr="000C31BA" w:rsidRDefault="005270BB" w:rsidP="005270BB">
            <w:pPr>
              <w:pStyle w:val="TableText"/>
              <w:jc w:val="center"/>
            </w:pPr>
          </w:p>
        </w:tc>
        <w:tc>
          <w:tcPr>
            <w:tcW w:w="342" w:type="pct"/>
            <w:tcMar>
              <w:left w:w="28" w:type="dxa"/>
              <w:right w:w="28" w:type="dxa"/>
            </w:tcMar>
          </w:tcPr>
          <w:p w14:paraId="76E53994" w14:textId="42280934" w:rsidR="005270BB" w:rsidRPr="000C31BA" w:rsidRDefault="005270BB" w:rsidP="005270BB">
            <w:pPr>
              <w:pStyle w:val="TableText"/>
              <w:jc w:val="center"/>
            </w:pPr>
            <w:r w:rsidRPr="00E07D02">
              <w:rPr>
                <w:rFonts w:ascii="Wingdings" w:hAnsi="Wingdings"/>
              </w:rPr>
              <w:t></w:t>
            </w:r>
          </w:p>
        </w:tc>
      </w:tr>
    </w:tbl>
    <w:p w14:paraId="3B5E0031" w14:textId="203A3337" w:rsidR="00BB0CAC" w:rsidRPr="000C31BA" w:rsidRDefault="000C31BA" w:rsidP="000C31BA">
      <w:pPr>
        <w:tabs>
          <w:tab w:val="left" w:pos="4958"/>
        </w:tabs>
        <w:sectPr w:rsidR="00BB0CAC" w:rsidRPr="000C31BA" w:rsidSect="00861690">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276" w:right="1418" w:bottom="992" w:left="1418" w:header="567" w:footer="567" w:gutter="0"/>
          <w:cols w:space="708"/>
          <w:docGrid w:linePitch="360"/>
        </w:sectPr>
      </w:pPr>
      <w:r>
        <w:tab/>
      </w:r>
    </w:p>
    <w:p w14:paraId="25231C11" w14:textId="62D0F984" w:rsidR="00BB0CAC" w:rsidRPr="00D66F4C" w:rsidRDefault="00BB0CAC" w:rsidP="002323CD">
      <w:pPr>
        <w:pStyle w:val="Heading3"/>
      </w:pPr>
      <w:r w:rsidRPr="00D66F4C">
        <w:lastRenderedPageBreak/>
        <w:t xml:space="preserve">Table </w:t>
      </w:r>
      <w:r w:rsidR="005270BB" w:rsidRPr="00D66F4C">
        <w:t>6</w:t>
      </w:r>
      <w:r w:rsidRPr="00D66F4C">
        <w:t>: Revisions to</w:t>
      </w:r>
      <w:r w:rsidR="000C31BA" w:rsidRPr="00D66F4C">
        <w:t xml:space="preserve"> Tax Expenditures since the 2017</w:t>
      </w:r>
      <w:r w:rsidRPr="00D66F4C">
        <w:t xml:space="preserve"> Tax Expenditure Statement</w:t>
      </w:r>
    </w:p>
    <w:tbl>
      <w:tblPr>
        <w:tblW w:w="9180"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firstRow="1" w:lastRow="0" w:firstColumn="1" w:lastColumn="0" w:noHBand="0" w:noVBand="1"/>
      </w:tblPr>
      <w:tblGrid>
        <w:gridCol w:w="2802"/>
        <w:gridCol w:w="2268"/>
        <w:gridCol w:w="4110"/>
      </w:tblGrid>
      <w:tr w:rsidR="00BB0CAC" w:rsidRPr="002323CD" w14:paraId="7C378438" w14:textId="77777777" w:rsidTr="008C1748">
        <w:tc>
          <w:tcPr>
            <w:tcW w:w="2802" w:type="dxa"/>
          </w:tcPr>
          <w:p w14:paraId="4EF885A7" w14:textId="77777777" w:rsidR="00BB0CAC" w:rsidRPr="002323CD" w:rsidRDefault="00BB0CAC" w:rsidP="002323CD">
            <w:pPr>
              <w:pStyle w:val="TableHeading"/>
            </w:pPr>
            <w:r w:rsidRPr="002323CD">
              <w:t>Tax Expenditure</w:t>
            </w:r>
          </w:p>
        </w:tc>
        <w:tc>
          <w:tcPr>
            <w:tcW w:w="2268" w:type="dxa"/>
          </w:tcPr>
          <w:p w14:paraId="2F2C2A77" w14:textId="77777777" w:rsidR="00BB0CAC" w:rsidRPr="002323CD" w:rsidRDefault="00BB0CAC" w:rsidP="002323CD">
            <w:pPr>
              <w:pStyle w:val="TableHeading"/>
            </w:pPr>
            <w:r w:rsidRPr="002323CD">
              <w:t>Sections</w:t>
            </w:r>
          </w:p>
        </w:tc>
        <w:tc>
          <w:tcPr>
            <w:tcW w:w="4110" w:type="dxa"/>
          </w:tcPr>
          <w:p w14:paraId="4C65E60E" w14:textId="77777777" w:rsidR="00BB0CAC" w:rsidRPr="002323CD" w:rsidRDefault="00BB0CAC" w:rsidP="002323CD">
            <w:pPr>
              <w:pStyle w:val="TableHeading"/>
            </w:pPr>
            <w:r w:rsidRPr="002323CD">
              <w:t>Comments</w:t>
            </w:r>
          </w:p>
        </w:tc>
      </w:tr>
      <w:tr w:rsidR="00070377" w:rsidRPr="00844BF8" w14:paraId="7C32CC4A" w14:textId="77777777" w:rsidTr="008C1748">
        <w:tc>
          <w:tcPr>
            <w:tcW w:w="2802" w:type="dxa"/>
          </w:tcPr>
          <w:p w14:paraId="3BD03663" w14:textId="40876FD8" w:rsidR="00070377" w:rsidRPr="00070377" w:rsidRDefault="00070377" w:rsidP="00070377">
            <w:pPr>
              <w:pStyle w:val="TableHeading"/>
              <w:rPr>
                <w:b w:val="0"/>
                <w:color w:val="auto"/>
              </w:rPr>
            </w:pPr>
            <w:r w:rsidRPr="00070377">
              <w:rPr>
                <w:b w:val="0"/>
                <w:color w:val="auto"/>
              </w:rPr>
              <w:t>Best Start tax credit</w:t>
            </w:r>
          </w:p>
        </w:tc>
        <w:tc>
          <w:tcPr>
            <w:tcW w:w="2268" w:type="dxa"/>
          </w:tcPr>
          <w:p w14:paraId="3DC33B86" w14:textId="55977C4F" w:rsidR="00070377" w:rsidRPr="000C5F94" w:rsidRDefault="00070377" w:rsidP="00070377">
            <w:pPr>
              <w:pStyle w:val="TableHeading"/>
              <w:rPr>
                <w:b w:val="0"/>
                <w:i/>
                <w:color w:val="auto"/>
              </w:rPr>
            </w:pPr>
            <w:r w:rsidRPr="000C5F94">
              <w:rPr>
                <w:b w:val="0"/>
                <w:i/>
                <w:color w:val="auto"/>
              </w:rPr>
              <w:t>Income Tax Act Section MG</w:t>
            </w:r>
          </w:p>
        </w:tc>
        <w:tc>
          <w:tcPr>
            <w:tcW w:w="4110" w:type="dxa"/>
          </w:tcPr>
          <w:p w14:paraId="05CF4911" w14:textId="30E7CEA7" w:rsidR="00070377" w:rsidRPr="00070377" w:rsidRDefault="00070377" w:rsidP="00070377">
            <w:pPr>
              <w:pStyle w:val="TableHeading"/>
              <w:rPr>
                <w:b w:val="0"/>
                <w:color w:val="auto"/>
              </w:rPr>
            </w:pPr>
            <w:r w:rsidRPr="00070377">
              <w:rPr>
                <w:b w:val="0"/>
                <w:color w:val="000000" w:themeColor="text1"/>
              </w:rPr>
              <w:t xml:space="preserve">Added by the </w:t>
            </w:r>
            <w:hyperlink r:id="rId24" w:history="1">
              <w:r w:rsidRPr="00070377">
                <w:rPr>
                  <w:b w:val="0"/>
                  <w:color w:val="000000" w:themeColor="text1"/>
                </w:rPr>
                <w:t>Families Package (Income Tax and Benefits) Act 2017</w:t>
              </w:r>
            </w:hyperlink>
            <w:r>
              <w:rPr>
                <w:b w:val="0"/>
                <w:color w:val="000000" w:themeColor="text1"/>
              </w:rPr>
              <w:t>, to take effect from 1 July 2018.</w:t>
            </w:r>
          </w:p>
        </w:tc>
      </w:tr>
      <w:tr w:rsidR="000C5F94" w:rsidRPr="00844BF8" w14:paraId="11D610FE" w14:textId="77777777" w:rsidTr="008C1748">
        <w:tc>
          <w:tcPr>
            <w:tcW w:w="2802" w:type="dxa"/>
          </w:tcPr>
          <w:p w14:paraId="6FCBF678" w14:textId="48236D26" w:rsidR="000C5F94" w:rsidRPr="00070377" w:rsidRDefault="000C5F94" w:rsidP="00070377">
            <w:pPr>
              <w:pStyle w:val="TableHeading"/>
              <w:rPr>
                <w:b w:val="0"/>
                <w:color w:val="auto"/>
              </w:rPr>
            </w:pPr>
            <w:r w:rsidRPr="000C5F94">
              <w:rPr>
                <w:b w:val="0"/>
                <w:color w:val="auto"/>
              </w:rPr>
              <w:t>Employee share schemes</w:t>
            </w:r>
          </w:p>
        </w:tc>
        <w:tc>
          <w:tcPr>
            <w:tcW w:w="2268" w:type="dxa"/>
          </w:tcPr>
          <w:p w14:paraId="3DD84D4D" w14:textId="77777777" w:rsidR="000C5F94" w:rsidRPr="000C5F94" w:rsidRDefault="000C5F94" w:rsidP="000C5F94">
            <w:pPr>
              <w:pStyle w:val="TableText"/>
              <w:rPr>
                <w:rFonts w:cs="Arial"/>
                <w:i/>
                <w:szCs w:val="22"/>
              </w:rPr>
            </w:pPr>
            <w:r w:rsidRPr="000C5F94">
              <w:rPr>
                <w:rFonts w:cs="Arial"/>
                <w:i/>
                <w:szCs w:val="22"/>
              </w:rPr>
              <w:t>Sections DC 12-15, CE 2</w:t>
            </w:r>
          </w:p>
          <w:p w14:paraId="7EBB54FF" w14:textId="77777777" w:rsidR="000C5F94" w:rsidRPr="000C5F94" w:rsidRDefault="000C5F94" w:rsidP="00070377">
            <w:pPr>
              <w:pStyle w:val="TableHeading"/>
              <w:rPr>
                <w:b w:val="0"/>
                <w:i/>
                <w:color w:val="auto"/>
              </w:rPr>
            </w:pPr>
          </w:p>
        </w:tc>
        <w:tc>
          <w:tcPr>
            <w:tcW w:w="4110" w:type="dxa"/>
          </w:tcPr>
          <w:p w14:paraId="73B8C121" w14:textId="2B9834E6" w:rsidR="000C5F94" w:rsidRPr="00070377" w:rsidRDefault="000C5F94" w:rsidP="00070377">
            <w:pPr>
              <w:pStyle w:val="TableHeading"/>
              <w:rPr>
                <w:b w:val="0"/>
                <w:color w:val="000000" w:themeColor="text1"/>
              </w:rPr>
            </w:pPr>
            <w:r>
              <w:rPr>
                <w:b w:val="0"/>
                <w:color w:val="000000" w:themeColor="text1"/>
              </w:rPr>
              <w:t xml:space="preserve">Repealed by the </w:t>
            </w:r>
            <w:r w:rsidRPr="000C5F94">
              <w:rPr>
                <w:b w:val="0"/>
                <w:color w:val="000000" w:themeColor="text1"/>
              </w:rPr>
              <w:t>Taxation (Annual Rates for 2017-18, Employment and Investment Income, and Remedial Matters) Act 2018</w:t>
            </w:r>
            <w:r>
              <w:rPr>
                <w:b w:val="0"/>
                <w:color w:val="000000" w:themeColor="text1"/>
              </w:rPr>
              <w:t>, effective from 29 March 2018.</w:t>
            </w:r>
          </w:p>
        </w:tc>
      </w:tr>
      <w:tr w:rsidR="00070377" w:rsidRPr="00844BF8" w14:paraId="2373DEA6" w14:textId="77777777" w:rsidTr="008C1748">
        <w:tc>
          <w:tcPr>
            <w:tcW w:w="2802" w:type="dxa"/>
          </w:tcPr>
          <w:p w14:paraId="29F23039" w14:textId="43E0A92C" w:rsidR="00070377" w:rsidRPr="005270BB" w:rsidRDefault="00070377" w:rsidP="00070377">
            <w:pPr>
              <w:pStyle w:val="TableHeading"/>
              <w:rPr>
                <w:b w:val="0"/>
                <w:color w:val="800000"/>
              </w:rPr>
            </w:pPr>
            <w:r w:rsidRPr="005270BB">
              <w:rPr>
                <w:b w:val="0"/>
                <w:color w:val="auto"/>
              </w:rPr>
              <w:t>Input tax (GST) recovered by registered non-profit bodies</w:t>
            </w:r>
          </w:p>
        </w:tc>
        <w:tc>
          <w:tcPr>
            <w:tcW w:w="2268" w:type="dxa"/>
          </w:tcPr>
          <w:p w14:paraId="4B30C017" w14:textId="0A075012" w:rsidR="00070377" w:rsidRPr="000C5F94" w:rsidRDefault="00070377" w:rsidP="00070377">
            <w:pPr>
              <w:pStyle w:val="TableHeading"/>
              <w:rPr>
                <w:b w:val="0"/>
                <w:i/>
                <w:color w:val="800000"/>
              </w:rPr>
            </w:pPr>
            <w:r w:rsidRPr="000C5F94">
              <w:rPr>
                <w:b w:val="0"/>
                <w:i/>
                <w:color w:val="auto"/>
              </w:rPr>
              <w:t xml:space="preserve">GST Act Section 20 3K </w:t>
            </w:r>
          </w:p>
        </w:tc>
        <w:tc>
          <w:tcPr>
            <w:tcW w:w="4110" w:type="dxa"/>
          </w:tcPr>
          <w:p w14:paraId="284613D7" w14:textId="6EC9EE93" w:rsidR="00070377" w:rsidRPr="000C31BA" w:rsidRDefault="00070377" w:rsidP="00070377">
            <w:pPr>
              <w:pStyle w:val="TableHeading"/>
              <w:rPr>
                <w:b w:val="0"/>
                <w:color w:val="800000"/>
              </w:rPr>
            </w:pPr>
            <w:r w:rsidRPr="000C31BA">
              <w:rPr>
                <w:b w:val="0"/>
                <w:color w:val="000000" w:themeColor="text1"/>
              </w:rPr>
              <w:t>Further analysis shows this deduction is a tax expenditure.</w:t>
            </w:r>
          </w:p>
        </w:tc>
      </w:tr>
    </w:tbl>
    <w:p w14:paraId="6E80A450" w14:textId="77777777" w:rsidR="00BB0CAC" w:rsidRDefault="00BB0CAC" w:rsidP="00BB0CAC"/>
    <w:p w14:paraId="582C7AA3" w14:textId="77777777" w:rsidR="00BB0CAC" w:rsidRDefault="00BB0CAC" w:rsidP="00BB0CAC">
      <w:pPr>
        <w:spacing w:before="0" w:after="0" w:line="240" w:lineRule="auto"/>
        <w:jc w:val="left"/>
      </w:pPr>
      <w:r>
        <w:br w:type="page"/>
      </w:r>
    </w:p>
    <w:p w14:paraId="3D699682" w14:textId="77777777" w:rsidR="00BB0CAC" w:rsidRPr="00D66F4C" w:rsidRDefault="00BB0CAC" w:rsidP="002323CD">
      <w:pPr>
        <w:pStyle w:val="Heading2"/>
      </w:pPr>
      <w:r w:rsidRPr="00D66F4C">
        <w:lastRenderedPageBreak/>
        <w:t>Quantification Methods</w:t>
      </w:r>
    </w:p>
    <w:p w14:paraId="16BFC428" w14:textId="77777777" w:rsidR="00BB0CAC" w:rsidRPr="004A7D7F" w:rsidRDefault="00BB0CAC" w:rsidP="00F67768">
      <w:pPr>
        <w:spacing w:after="240"/>
        <w:jc w:val="left"/>
        <w:rPr>
          <w:lang w:val="en-AU"/>
        </w:rPr>
      </w:pPr>
      <w:r w:rsidRPr="004A7D7F">
        <w:rPr>
          <w:lang w:val="en-AU"/>
        </w:rPr>
        <w:t>This section provides further information on the methods used to obtain those expenditures listed in Table 2.</w:t>
      </w:r>
    </w:p>
    <w:p w14:paraId="55D4FE95" w14:textId="77777777" w:rsidR="00BB0CAC" w:rsidRPr="00D66F4C" w:rsidRDefault="00BB0CAC" w:rsidP="002323CD">
      <w:pPr>
        <w:pStyle w:val="Heading3"/>
      </w:pPr>
      <w:r w:rsidRPr="00D66F4C">
        <w:t>Quantified Tax Expenditures</w:t>
      </w:r>
    </w:p>
    <w:p w14:paraId="673781FA" w14:textId="77777777" w:rsidR="00BB0CAC" w:rsidRPr="004A7D7F" w:rsidRDefault="00BB0CAC" w:rsidP="00BB0CAC">
      <w:pPr>
        <w:pStyle w:val="Heading4"/>
      </w:pPr>
      <w:r w:rsidRPr="004A7D7F">
        <w:t>Charitable or other public benefit gifts by a company: deduction</w:t>
      </w:r>
    </w:p>
    <w:p w14:paraId="57824A95" w14:textId="77777777" w:rsidR="00BB0CAC" w:rsidRPr="004A7D7F" w:rsidRDefault="00BB0CAC" w:rsidP="00F67768">
      <w:pPr>
        <w:spacing w:after="240"/>
        <w:jc w:val="left"/>
      </w:pPr>
      <w:r w:rsidRPr="004A7D7F">
        <w:t>This item is sourced from the Income Tax return for companies (IR4).  The values returned are the amount of donations made; the tax expenditure associated with these donations are the amount of donations multiplied by the company tax rate prevailing for the tax year in which the donations are returned.</w:t>
      </w:r>
    </w:p>
    <w:p w14:paraId="3C740C26" w14:textId="77777777" w:rsidR="00BB0CAC" w:rsidRPr="004A7D7F" w:rsidRDefault="00BB0CAC" w:rsidP="00F67768">
      <w:pPr>
        <w:spacing w:after="240"/>
        <w:jc w:val="left"/>
      </w:pPr>
      <w:r w:rsidRPr="004A7D7F">
        <w:t>Analysis of filing patterns in the previous two years suggests that claims for donation-related deductions are generally available by April the following year, and additional claims for a deduction are not large.  Consequently, data for 2016</w:t>
      </w:r>
      <w:r w:rsidR="004A7D7F">
        <w:t>/17</w:t>
      </w:r>
      <w:r w:rsidRPr="004A7D7F">
        <w:t xml:space="preserve"> uses the claims info</w:t>
      </w:r>
      <w:r w:rsidR="004A7D7F">
        <w:t>rmation available at the 13 April 2018</w:t>
      </w:r>
      <w:r w:rsidRPr="004A7D7F">
        <w:t xml:space="preserve"> with a small allowance for later claims.  </w:t>
      </w:r>
    </w:p>
    <w:p w14:paraId="4B02D55C" w14:textId="77777777" w:rsidR="00BB0CAC" w:rsidRPr="004A7D7F" w:rsidRDefault="004A7D7F" w:rsidP="00F67768">
      <w:pPr>
        <w:spacing w:after="240"/>
        <w:jc w:val="left"/>
      </w:pPr>
      <w:r>
        <w:t>The forecast for 20</w:t>
      </w:r>
      <w:r w:rsidR="00BB0CAC" w:rsidRPr="004A7D7F">
        <w:t>17</w:t>
      </w:r>
      <w:r>
        <w:t>/18</w:t>
      </w:r>
      <w:r w:rsidR="00BB0CAC" w:rsidRPr="004A7D7F">
        <w:t xml:space="preserve"> is, in the absence of better information, hel</w:t>
      </w:r>
      <w:r>
        <w:t>d at the same level as for 20</w:t>
      </w:r>
      <w:r w:rsidR="00BB0CAC" w:rsidRPr="004A7D7F">
        <w:t>16</w:t>
      </w:r>
      <w:r>
        <w:t>/17</w:t>
      </w:r>
      <w:r w:rsidR="00BB0CAC" w:rsidRPr="004A7D7F">
        <w:t xml:space="preserve">.  </w:t>
      </w:r>
    </w:p>
    <w:p w14:paraId="46C0162B" w14:textId="77777777" w:rsidR="00BB0CAC" w:rsidRPr="004A7D7F" w:rsidRDefault="00BB0CAC" w:rsidP="008C1748">
      <w:pPr>
        <w:pStyle w:val="Heading4"/>
        <w:spacing w:after="200"/>
      </w:pPr>
      <w:r w:rsidRPr="004A7D7F">
        <w:t>Charitable or other public benefits: tax credit</w:t>
      </w:r>
    </w:p>
    <w:p w14:paraId="521F511A" w14:textId="77777777" w:rsidR="00BB0CAC" w:rsidRPr="004A7D7F" w:rsidRDefault="00BB0CAC" w:rsidP="00F67768">
      <w:pPr>
        <w:spacing w:before="0" w:after="240"/>
        <w:jc w:val="left"/>
      </w:pPr>
      <w:r w:rsidRPr="004A7D7F">
        <w:t xml:space="preserve">This item is sourced from the tax credit claim form (IR526) and from Employer Monthly Schedules for payroll giving.  </w:t>
      </w:r>
    </w:p>
    <w:p w14:paraId="1677385A" w14:textId="77777777" w:rsidR="00BB0CAC" w:rsidRPr="004A7D7F" w:rsidRDefault="00BB0CAC" w:rsidP="00F67768">
      <w:pPr>
        <w:spacing w:after="240"/>
        <w:jc w:val="left"/>
      </w:pPr>
      <w:r w:rsidRPr="004A7D7F">
        <w:t>Analysis of filing patterns for the IR526 return suggests that over 90 percent of claims for tax credits in the 2016</w:t>
      </w:r>
      <w:r w:rsidR="004A7D7F">
        <w:t>/17</w:t>
      </w:r>
      <w:r w:rsidRPr="004A7D7F">
        <w:t xml:space="preserve"> year will be received by Apr</w:t>
      </w:r>
      <w:r w:rsidR="004A7D7F">
        <w:t>il 2018</w:t>
      </w:r>
      <w:r w:rsidRPr="004A7D7F">
        <w:t>.  Consequently, for the estimated actual figure for 2016</w:t>
      </w:r>
      <w:r w:rsidR="004A7D7F">
        <w:t>/17</w:t>
      </w:r>
      <w:r w:rsidRPr="004A7D7F">
        <w:t xml:space="preserve"> we have assumed a small scale up on the credits received by </w:t>
      </w:r>
      <w:r w:rsidR="004A7D7F">
        <w:t xml:space="preserve">13 </w:t>
      </w:r>
      <w:r w:rsidRPr="004A7D7F">
        <w:t>April.</w:t>
      </w:r>
    </w:p>
    <w:p w14:paraId="76B9895E" w14:textId="77777777" w:rsidR="00BB0CAC" w:rsidRPr="004A7D7F" w:rsidRDefault="00BB0CAC" w:rsidP="00F67768">
      <w:pPr>
        <w:spacing w:after="240"/>
        <w:jc w:val="left"/>
      </w:pPr>
      <w:r w:rsidRPr="004A7D7F">
        <w:t>The forecast for 2017</w:t>
      </w:r>
      <w:r w:rsidR="004A7D7F">
        <w:t>/18</w:t>
      </w:r>
      <w:r w:rsidRPr="004A7D7F">
        <w:t xml:space="preserve"> is, in the absence of better information, hel</w:t>
      </w:r>
      <w:r w:rsidR="004A7D7F">
        <w:t>d at the same level as the 20</w:t>
      </w:r>
      <w:r w:rsidRPr="004A7D7F">
        <w:t>16</w:t>
      </w:r>
      <w:r w:rsidR="004A7D7F">
        <w:t>/17</w:t>
      </w:r>
      <w:r w:rsidRPr="004A7D7F">
        <w:t xml:space="preserve"> estimate.</w:t>
      </w:r>
    </w:p>
    <w:p w14:paraId="46D7CF96" w14:textId="05FC19AF" w:rsidR="004A7D7F" w:rsidRDefault="00BB0CAC" w:rsidP="00F67768">
      <w:pPr>
        <w:spacing w:after="240"/>
        <w:jc w:val="left"/>
      </w:pPr>
      <w:r w:rsidRPr="004A7D7F">
        <w:t>The (small) payroll giving component of the donations reported in this expenditure</w:t>
      </w:r>
      <w:r w:rsidR="004A7D7F">
        <w:t xml:space="preserve"> is available within 20 days of the end of the month in which the donation was made, and actual data is used for both the 2016/17 and 2018/18 years. </w:t>
      </w:r>
      <w:r w:rsidR="00123038">
        <w:t>T</w:t>
      </w:r>
      <w:r w:rsidR="004A7D7F">
        <w:t xml:space="preserve">able </w:t>
      </w:r>
      <w:r w:rsidR="00123038">
        <w:t xml:space="preserve">2 </w:t>
      </w:r>
      <w:r w:rsidR="004A7D7F">
        <w:t>was</w:t>
      </w:r>
      <w:r w:rsidRPr="004A7D7F">
        <w:t xml:space="preserve"> </w:t>
      </w:r>
      <w:r w:rsidR="004A7D7F">
        <w:t>updated before 20 April</w:t>
      </w:r>
      <w:r w:rsidR="00947DE6">
        <w:rPr>
          <w:rStyle w:val="FootnoteReference"/>
        </w:rPr>
        <w:footnoteReference w:id="6"/>
      </w:r>
      <w:r w:rsidR="004A7D7F">
        <w:t>, but the value of credits claimed tends to be small enough to have little impact on the annual figure reported here.</w:t>
      </w:r>
    </w:p>
    <w:p w14:paraId="604391D2" w14:textId="77777777" w:rsidR="00BB0CAC" w:rsidRPr="004A7D7F" w:rsidRDefault="00BB0CAC" w:rsidP="008C1748">
      <w:pPr>
        <w:pStyle w:val="Heading4"/>
        <w:spacing w:after="200"/>
      </w:pPr>
      <w:r w:rsidRPr="004A7D7F">
        <w:t>Independent earner tax credit</w:t>
      </w:r>
    </w:p>
    <w:p w14:paraId="1B3E0773" w14:textId="52855385" w:rsidR="00BB0CAC" w:rsidRPr="004A7D7F" w:rsidRDefault="00BB0CAC" w:rsidP="00F67768">
      <w:pPr>
        <w:spacing w:after="240"/>
        <w:jc w:val="left"/>
      </w:pPr>
      <w:r w:rsidRPr="004A7D7F">
        <w:t>The Independent Earner Tax Credit (IETC) can be claimed at year end, or during the year through the PAYE system.  For the year-end claims, the amount is compiled directly from IR3 tax returns or personal tax summaries.  For the PAYE claims of people who do not square up at year end, the amount of IETC claimed is imputed monthly from the PAYE earnings of people who have selected ‘ME’ tax codes for their PAYE. This monthly imputation annualises the earnings of that particular month, and imputes entitlement on the basis of these monthly earnings, not on the basis of the annual earnings.</w:t>
      </w:r>
    </w:p>
    <w:p w14:paraId="35B0784E" w14:textId="77777777" w:rsidR="00BB0CAC" w:rsidRPr="004A7D7F" w:rsidRDefault="00BB0CAC" w:rsidP="00F67768">
      <w:pPr>
        <w:spacing w:after="240"/>
        <w:jc w:val="left"/>
      </w:pPr>
      <w:r w:rsidRPr="004A7D7F">
        <w:lastRenderedPageBreak/>
        <w:t xml:space="preserve">The final step in quantification of IETC for any given return period is an estimate for late claims.  Not all claims are made within a year of their entitlement, and back periods can continue to grow as late claims are made through the square-up process.  From past experience, up to $20 million of additional claims can be made in second and subsequent years. </w:t>
      </w:r>
    </w:p>
    <w:p w14:paraId="4E0424A6" w14:textId="77777777" w:rsidR="00BB0CAC" w:rsidRPr="004A7D7F" w:rsidRDefault="00BB0CAC" w:rsidP="00F67768">
      <w:pPr>
        <w:spacing w:after="240"/>
        <w:jc w:val="left"/>
      </w:pPr>
      <w:r w:rsidRPr="004A7D7F">
        <w:t>Because of the ongoing potential for back-year claims, the estimate for any year is set at the largest of the preceding “complete” years.</w:t>
      </w:r>
    </w:p>
    <w:p w14:paraId="0FFEC5C1" w14:textId="77777777" w:rsidR="00BB0CAC" w:rsidRPr="004A7D7F" w:rsidRDefault="00BB0CAC" w:rsidP="00BB0CAC">
      <w:pPr>
        <w:pStyle w:val="Heading4"/>
      </w:pPr>
      <w:r w:rsidRPr="004A7D7F">
        <w:t>Māori Authorities: donations</w:t>
      </w:r>
    </w:p>
    <w:p w14:paraId="3BF54199" w14:textId="77777777" w:rsidR="00BB0CAC" w:rsidRPr="004A7D7F" w:rsidRDefault="00BB0CAC" w:rsidP="00F67768">
      <w:pPr>
        <w:spacing w:after="240"/>
        <w:jc w:val="left"/>
      </w:pPr>
      <w:r w:rsidRPr="004A7D7F">
        <w:t>This item is sourced from the Income Tax return for Māori authorities (IR8).  The values returned are the amount of donations made; the tax expenditure associated with these donations is the amount of donations multiplied by the Māori authority tax rate for the tax year in which the donations are returned.</w:t>
      </w:r>
    </w:p>
    <w:p w14:paraId="4AE2652C" w14:textId="77777777" w:rsidR="00BB0CAC" w:rsidRPr="004A7D7F" w:rsidRDefault="00BB0CAC" w:rsidP="00F67768">
      <w:pPr>
        <w:spacing w:after="240"/>
        <w:jc w:val="left"/>
      </w:pPr>
      <w:r w:rsidRPr="004A7D7F">
        <w:t>Analysis of filing patterns in the previous two years suggests that claims for donation-related deductions are generally available by April the following year, and additional claims for a deduction are not large.  Consequently, data for 2016</w:t>
      </w:r>
      <w:r w:rsidR="00253DAB">
        <w:t>/17</w:t>
      </w:r>
      <w:r w:rsidRPr="004A7D7F">
        <w:t xml:space="preserve"> uses the claims information available at </w:t>
      </w:r>
      <w:r w:rsidR="00253DAB">
        <w:t>13 April 2018</w:t>
      </w:r>
      <w:r w:rsidRPr="004A7D7F">
        <w:t xml:space="preserve">.  </w:t>
      </w:r>
    </w:p>
    <w:p w14:paraId="6A50139C" w14:textId="77777777" w:rsidR="00BB0CAC" w:rsidRPr="004A7D7F" w:rsidRDefault="00BB0CAC" w:rsidP="00BB0CAC">
      <w:r w:rsidRPr="004A7D7F">
        <w:t>The 2017</w:t>
      </w:r>
      <w:r w:rsidR="00253DAB">
        <w:t>/18</w:t>
      </w:r>
      <w:r w:rsidRPr="004A7D7F">
        <w:t xml:space="preserve"> year is estimated to be similar to 2016</w:t>
      </w:r>
      <w:r w:rsidR="00253DAB">
        <w:t>/17</w:t>
      </w:r>
      <w:r w:rsidRPr="004A7D7F">
        <w:t>.</w:t>
      </w:r>
    </w:p>
    <w:p w14:paraId="1D0D4494" w14:textId="77777777" w:rsidR="00BB0CAC" w:rsidRPr="00D66F4C" w:rsidRDefault="00BB0CAC" w:rsidP="008C1748">
      <w:pPr>
        <w:pStyle w:val="Heading3"/>
      </w:pPr>
      <w:r w:rsidRPr="00D66F4C">
        <w:t>Appropriated spending through the tax system</w:t>
      </w:r>
    </w:p>
    <w:p w14:paraId="210CB3BD" w14:textId="77777777" w:rsidR="00BB0CAC" w:rsidRPr="004A7D7F" w:rsidRDefault="00BB0CAC" w:rsidP="00F67768">
      <w:pPr>
        <w:pStyle w:val="Heading4"/>
        <w:jc w:val="left"/>
      </w:pPr>
      <w:r w:rsidRPr="004A7D7F">
        <w:t>Child tax credit, Family tax credit, In-work tax c</w:t>
      </w:r>
      <w:r w:rsidR="00253DAB">
        <w:t xml:space="preserve">redit, Parental tax credit and </w:t>
      </w:r>
      <w:r w:rsidRPr="004A7D7F">
        <w:t>Minimum Family tax credit</w:t>
      </w:r>
      <w:r w:rsidR="00253DAB">
        <w:t xml:space="preserve"> </w:t>
      </w:r>
    </w:p>
    <w:p w14:paraId="7F58288E" w14:textId="77777777" w:rsidR="00BB0CAC" w:rsidRPr="004A7D7F" w:rsidRDefault="00BB0CAC" w:rsidP="00F67768">
      <w:pPr>
        <w:jc w:val="left"/>
      </w:pPr>
      <w:r w:rsidRPr="004A7D7F">
        <w:t xml:space="preserve">Historical values for these </w:t>
      </w:r>
      <w:proofErr w:type="gramStart"/>
      <w:r w:rsidRPr="004A7D7F">
        <w:rPr>
          <w:rStyle w:val="Emphasis"/>
        </w:rPr>
        <w:t>Working</w:t>
      </w:r>
      <w:proofErr w:type="gramEnd"/>
      <w:r w:rsidRPr="004A7D7F">
        <w:rPr>
          <w:rStyle w:val="Emphasis"/>
        </w:rPr>
        <w:t xml:space="preserve"> for Families</w:t>
      </w:r>
      <w:r w:rsidRPr="004A7D7F">
        <w:t xml:space="preserve"> tax credits are provided by Inland Revenue’s Crown Accounting team, based on actual expenditure on these credits.  These items are also formally forecast as part of the preparation of the Government’s Budget process, and the values r</w:t>
      </w:r>
      <w:r w:rsidR="00253DAB">
        <w:t>eported in the Tax Expenditure S</w:t>
      </w:r>
      <w:r w:rsidRPr="004A7D7F">
        <w:t>tatement are taken from these forecasts.</w:t>
      </w:r>
    </w:p>
    <w:p w14:paraId="7418DA0D" w14:textId="77777777" w:rsidR="00BB0CAC" w:rsidRPr="004A7D7F" w:rsidRDefault="00BB0CAC" w:rsidP="00F67768">
      <w:pPr>
        <w:pStyle w:val="Heading4"/>
        <w:jc w:val="left"/>
      </w:pPr>
      <w:proofErr w:type="spellStart"/>
      <w:r w:rsidRPr="004A7D7F">
        <w:t>KiwiSaver</w:t>
      </w:r>
      <w:proofErr w:type="spellEnd"/>
      <w:r w:rsidRPr="004A7D7F">
        <w:t xml:space="preserve"> tax credit</w:t>
      </w:r>
    </w:p>
    <w:p w14:paraId="78721855" w14:textId="77777777" w:rsidR="00BB0CAC" w:rsidRPr="004A7D7F" w:rsidRDefault="00BB0CAC" w:rsidP="00F67768">
      <w:pPr>
        <w:jc w:val="left"/>
      </w:pPr>
      <w:r w:rsidRPr="004A7D7F">
        <w:t xml:space="preserve">The </w:t>
      </w:r>
      <w:proofErr w:type="spellStart"/>
      <w:r w:rsidRPr="004A7D7F">
        <w:t>KiwiSaver</w:t>
      </w:r>
      <w:proofErr w:type="spellEnd"/>
      <w:r w:rsidRPr="004A7D7F">
        <w:t xml:space="preserve"> tax credit reflects the combined expenditure on (historically) Kickstart, Member Tax Credit and interest payments made by Inland Revenue relating to the period when contributions to members’ scheme providers are held by Inland Revenue.</w:t>
      </w:r>
    </w:p>
    <w:p w14:paraId="4C1C7F92" w14:textId="77777777" w:rsidR="00BB0CAC" w:rsidRPr="00B61EF9" w:rsidRDefault="00BB0CAC" w:rsidP="00F67768">
      <w:pPr>
        <w:jc w:val="left"/>
      </w:pPr>
      <w:r w:rsidRPr="004A7D7F">
        <w:t xml:space="preserve">Historical values for these tax credits are provided by Inland Revenue’s Crown Accounting team, based on actual expenditure on these credits.  This item is also formally forecast as part of the preparation of the Government’s Budget process, and the values reported in the Tax Expenditure </w:t>
      </w:r>
      <w:r w:rsidR="00253DAB">
        <w:t>S</w:t>
      </w:r>
      <w:r w:rsidRPr="004A7D7F">
        <w:t>tatement are taken from these forecasts.</w:t>
      </w:r>
    </w:p>
    <w:p w14:paraId="7C56E644" w14:textId="77777777" w:rsidR="00BB0CAC" w:rsidRDefault="00253DAB" w:rsidP="00F67768">
      <w:pPr>
        <w:jc w:val="left"/>
        <w:rPr>
          <w:i/>
        </w:rPr>
      </w:pPr>
      <w:r>
        <w:rPr>
          <w:i/>
        </w:rPr>
        <w:t>Best Start tax credit</w:t>
      </w:r>
    </w:p>
    <w:p w14:paraId="46853370" w14:textId="2CC2C3E2" w:rsidR="00D801C0" w:rsidRDefault="00253DAB" w:rsidP="00F67768">
      <w:pPr>
        <w:jc w:val="left"/>
      </w:pPr>
      <w:r>
        <w:t>The Best Start tax credit was announced in November 2017 as part of the Families Package. It will not take effect until 1 July 2018, and consequently its cost is not captured by these tables. It is included for completeness</w:t>
      </w:r>
    </w:p>
    <w:sectPr w:rsidR="00D801C0" w:rsidSect="008C1748">
      <w:headerReference w:type="default" r:id="rId25"/>
      <w:footerReference w:type="default" r:id="rId26"/>
      <w:pgSz w:w="11906" w:h="16838" w:code="9"/>
      <w:pgMar w:top="1276" w:right="1418" w:bottom="992" w:left="1701"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0ED5B" w14:textId="77777777" w:rsidR="0088541B" w:rsidRDefault="0088541B" w:rsidP="00BB0CAC">
      <w:pPr>
        <w:spacing w:before="0" w:after="0" w:line="240" w:lineRule="auto"/>
      </w:pPr>
      <w:r>
        <w:separator/>
      </w:r>
    </w:p>
  </w:endnote>
  <w:endnote w:type="continuationSeparator" w:id="0">
    <w:p w14:paraId="5D8AEFEA" w14:textId="77777777" w:rsidR="0088541B" w:rsidRDefault="0088541B" w:rsidP="00BB0C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Bold">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22320" w14:textId="7055D3A2" w:rsidR="0088541B" w:rsidRPr="00796B6E" w:rsidRDefault="000D7B79" w:rsidP="00F67768">
    <w:pPr>
      <w:tabs>
        <w:tab w:val="right" w:pos="8505"/>
      </w:tabs>
      <w:spacing w:before="0" w:after="0"/>
      <w:jc w:val="right"/>
      <w:rPr>
        <w:sz w:val="18"/>
        <w:szCs w:val="18"/>
      </w:rPr>
    </w:pPr>
    <w:bookmarkStart w:id="10" w:name="TsyIMFooter"/>
    <w:r>
      <w:rPr>
        <w:sz w:val="14"/>
        <w:szCs w:val="18"/>
      </w:rPr>
      <w:t>Treasury</w:t>
    </w:r>
    <w:proofErr w:type="gramStart"/>
    <w:r>
      <w:rPr>
        <w:sz w:val="14"/>
        <w:szCs w:val="18"/>
      </w:rPr>
      <w:t>:3923120v2</w:t>
    </w:r>
    <w:proofErr w:type="gramEnd"/>
    <w:r>
      <w:rPr>
        <w:sz w:val="14"/>
        <w:szCs w:val="18"/>
      </w:rPr>
      <w:t xml:space="preserve"> </w:t>
    </w:r>
    <w:bookmarkEnd w:id="10"/>
    <w:r w:rsidR="0088541B" w:rsidRPr="00796B6E">
      <w:rPr>
        <w:sz w:val="18"/>
        <w:szCs w:val="18"/>
      </w:rPr>
      <w:fldChar w:fldCharType="begin"/>
    </w:r>
    <w:r w:rsidR="0088541B" w:rsidRPr="00796B6E">
      <w:rPr>
        <w:sz w:val="18"/>
        <w:szCs w:val="18"/>
      </w:rPr>
      <w:instrText xml:space="preserve"> PAGE   \* MERGEFORMAT </w:instrText>
    </w:r>
    <w:r w:rsidR="0088541B" w:rsidRPr="00796B6E">
      <w:rPr>
        <w:sz w:val="18"/>
        <w:szCs w:val="18"/>
      </w:rPr>
      <w:fldChar w:fldCharType="separate"/>
    </w:r>
    <w:r w:rsidR="007B20F9">
      <w:rPr>
        <w:noProof/>
        <w:sz w:val="18"/>
        <w:szCs w:val="18"/>
      </w:rPr>
      <w:t>4</w:t>
    </w:r>
    <w:r w:rsidR="0088541B" w:rsidRPr="00796B6E">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B0ECF" w14:textId="562D3F73" w:rsidR="0088541B" w:rsidRPr="00796B6E" w:rsidRDefault="0088541B" w:rsidP="000676D8">
    <w:pPr>
      <w:spacing w:before="120" w:after="0"/>
      <w:jc w:val="right"/>
      <w:rPr>
        <w:sz w:val="18"/>
        <w:szCs w:val="18"/>
      </w:rPr>
    </w:pPr>
    <w:r w:rsidRPr="00796B6E">
      <w:rPr>
        <w:sz w:val="18"/>
        <w:szCs w:val="18"/>
      </w:rPr>
      <w:fldChar w:fldCharType="begin"/>
    </w:r>
    <w:r w:rsidRPr="00796B6E">
      <w:rPr>
        <w:sz w:val="18"/>
        <w:szCs w:val="18"/>
      </w:rPr>
      <w:instrText xml:space="preserve"> PAGE   \* MERGEFORMAT </w:instrText>
    </w:r>
    <w:r w:rsidRPr="00796B6E">
      <w:rPr>
        <w:sz w:val="18"/>
        <w:szCs w:val="18"/>
      </w:rPr>
      <w:fldChar w:fldCharType="separate"/>
    </w:r>
    <w:r w:rsidR="007B20F9">
      <w:rPr>
        <w:noProof/>
        <w:sz w:val="18"/>
        <w:szCs w:val="18"/>
      </w:rPr>
      <w:t>1</w:t>
    </w:r>
    <w:r w:rsidRPr="00796B6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9F6D3" w14:textId="77777777" w:rsidR="0088541B" w:rsidRPr="00796B6E" w:rsidRDefault="0088541B" w:rsidP="000676D8">
    <w:pPr>
      <w:tabs>
        <w:tab w:val="right" w:pos="8505"/>
      </w:tabs>
      <w:spacing w:before="120" w:after="0"/>
      <w:jc w:val="right"/>
      <w:rPr>
        <w:sz w:val="18"/>
        <w:szCs w:val="18"/>
      </w:rPr>
    </w:pPr>
    <w:r w:rsidRPr="00796B6E">
      <w:rPr>
        <w:sz w:val="18"/>
        <w:szCs w:val="18"/>
      </w:rPr>
      <w:fldChar w:fldCharType="begin"/>
    </w:r>
    <w:r w:rsidRPr="00796B6E">
      <w:rPr>
        <w:sz w:val="18"/>
        <w:szCs w:val="18"/>
      </w:rPr>
      <w:instrText xml:space="preserve"> PAGE   \* MERGEFORMAT </w:instrText>
    </w:r>
    <w:r w:rsidRPr="00796B6E">
      <w:rPr>
        <w:sz w:val="18"/>
        <w:szCs w:val="18"/>
      </w:rPr>
      <w:fldChar w:fldCharType="separate"/>
    </w:r>
    <w:r>
      <w:rPr>
        <w:noProof/>
        <w:sz w:val="18"/>
        <w:szCs w:val="18"/>
      </w:rPr>
      <w:t>6</w:t>
    </w:r>
    <w:r w:rsidRPr="00796B6E">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E1E75" w14:textId="43D284AB" w:rsidR="0088541B" w:rsidRPr="00796B6E" w:rsidRDefault="0088541B" w:rsidP="000676D8">
    <w:pPr>
      <w:spacing w:before="120" w:after="0"/>
      <w:jc w:val="right"/>
      <w:rPr>
        <w:sz w:val="18"/>
        <w:szCs w:val="18"/>
      </w:rPr>
    </w:pPr>
    <w:r w:rsidRPr="00796B6E">
      <w:rPr>
        <w:sz w:val="18"/>
        <w:szCs w:val="18"/>
      </w:rPr>
      <w:fldChar w:fldCharType="begin"/>
    </w:r>
    <w:r w:rsidRPr="00796B6E">
      <w:rPr>
        <w:sz w:val="18"/>
        <w:szCs w:val="18"/>
      </w:rPr>
      <w:instrText xml:space="preserve"> PAGE   \* MERGEFORMAT </w:instrText>
    </w:r>
    <w:r w:rsidRPr="00796B6E">
      <w:rPr>
        <w:sz w:val="18"/>
        <w:szCs w:val="18"/>
      </w:rPr>
      <w:fldChar w:fldCharType="separate"/>
    </w:r>
    <w:r w:rsidR="007B20F9">
      <w:rPr>
        <w:noProof/>
        <w:sz w:val="18"/>
        <w:szCs w:val="18"/>
      </w:rPr>
      <w:t>6</w:t>
    </w:r>
    <w:r w:rsidRPr="00796B6E">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029C" w14:textId="77777777" w:rsidR="0088541B" w:rsidRDefault="0088541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18308" w14:textId="503F2F94" w:rsidR="0088541B" w:rsidRPr="00CE5191" w:rsidRDefault="0088541B" w:rsidP="000676D8">
    <w:pPr>
      <w:tabs>
        <w:tab w:val="center" w:pos="4820"/>
      </w:tabs>
      <w:spacing w:before="120" w:after="0"/>
      <w:ind w:right="-173"/>
      <w:jc w:val="right"/>
      <w:rPr>
        <w:sz w:val="18"/>
        <w:szCs w:val="18"/>
      </w:rPr>
    </w:pPr>
    <w:r w:rsidRPr="00CE5191">
      <w:rPr>
        <w:sz w:val="18"/>
        <w:szCs w:val="18"/>
      </w:rPr>
      <w:fldChar w:fldCharType="begin"/>
    </w:r>
    <w:r w:rsidRPr="00CE5191">
      <w:rPr>
        <w:sz w:val="18"/>
        <w:szCs w:val="18"/>
      </w:rPr>
      <w:instrText xml:space="preserve"> PAGE   \* MERGEFORMAT </w:instrText>
    </w:r>
    <w:r w:rsidRPr="00CE5191">
      <w:rPr>
        <w:sz w:val="18"/>
        <w:szCs w:val="18"/>
      </w:rPr>
      <w:fldChar w:fldCharType="separate"/>
    </w:r>
    <w:r w:rsidR="007B20F9">
      <w:rPr>
        <w:noProof/>
        <w:sz w:val="18"/>
        <w:szCs w:val="18"/>
      </w:rPr>
      <w:t>14</w:t>
    </w:r>
    <w:r w:rsidRPr="00CE5191">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35AA" w14:textId="77777777" w:rsidR="0088541B" w:rsidRDefault="0088541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9C1E7" w14:textId="21837B20" w:rsidR="0088541B" w:rsidRPr="00CE5191" w:rsidRDefault="0088541B" w:rsidP="000676D8">
    <w:pPr>
      <w:tabs>
        <w:tab w:val="center" w:pos="4253"/>
        <w:tab w:val="right" w:pos="8505"/>
      </w:tabs>
      <w:jc w:val="right"/>
      <w:rPr>
        <w:sz w:val="18"/>
        <w:szCs w:val="18"/>
      </w:rPr>
    </w:pPr>
    <w:r w:rsidRPr="00CE5191">
      <w:rPr>
        <w:sz w:val="18"/>
        <w:szCs w:val="18"/>
      </w:rPr>
      <w:tab/>
    </w:r>
    <w:r w:rsidRPr="00CE5191">
      <w:rPr>
        <w:sz w:val="18"/>
        <w:szCs w:val="18"/>
      </w:rPr>
      <w:fldChar w:fldCharType="begin"/>
    </w:r>
    <w:r w:rsidRPr="00CE5191">
      <w:rPr>
        <w:sz w:val="18"/>
        <w:szCs w:val="18"/>
      </w:rPr>
      <w:instrText xml:space="preserve"> PAGE   \* MERGEFORMAT </w:instrText>
    </w:r>
    <w:r w:rsidRPr="00CE5191">
      <w:rPr>
        <w:sz w:val="18"/>
        <w:szCs w:val="18"/>
      </w:rPr>
      <w:fldChar w:fldCharType="separate"/>
    </w:r>
    <w:r w:rsidR="007B20F9">
      <w:rPr>
        <w:noProof/>
        <w:sz w:val="18"/>
        <w:szCs w:val="18"/>
      </w:rPr>
      <w:t>17</w:t>
    </w:r>
    <w:r w:rsidRPr="00CE519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CF004" w14:textId="77777777" w:rsidR="0088541B" w:rsidRDefault="0088541B" w:rsidP="00BB0CAC">
      <w:pPr>
        <w:spacing w:before="0" w:after="0" w:line="240" w:lineRule="auto"/>
      </w:pPr>
      <w:r>
        <w:separator/>
      </w:r>
    </w:p>
  </w:footnote>
  <w:footnote w:type="continuationSeparator" w:id="0">
    <w:p w14:paraId="23B35468" w14:textId="77777777" w:rsidR="0088541B" w:rsidRDefault="0088541B" w:rsidP="00BB0CAC">
      <w:pPr>
        <w:spacing w:before="0" w:after="0" w:line="240" w:lineRule="auto"/>
      </w:pPr>
      <w:r>
        <w:continuationSeparator/>
      </w:r>
    </w:p>
  </w:footnote>
  <w:footnote w:id="1">
    <w:p w14:paraId="3EB2669F" w14:textId="77777777" w:rsidR="0088541B" w:rsidRPr="00255A36" w:rsidRDefault="0088541B" w:rsidP="00F67768">
      <w:pPr>
        <w:pStyle w:val="FootnoteText1"/>
        <w:jc w:val="left"/>
      </w:pPr>
      <w:r w:rsidRPr="007D139A">
        <w:footnoteRef/>
      </w:r>
      <w:r w:rsidRPr="007D139A">
        <w:t xml:space="preserve"> </w:t>
      </w:r>
      <w:r w:rsidRPr="00255A36">
        <w:tab/>
      </w:r>
      <w:r w:rsidRPr="003F3E91">
        <w:t xml:space="preserve">For example, Portfolio Investment Entities (PIEs) offer all tax payers the option of relatively </w:t>
      </w:r>
      <w:r>
        <w:t>‘</w:t>
      </w:r>
      <w:r w:rsidRPr="003F3E91">
        <w:t>concessional</w:t>
      </w:r>
      <w:r>
        <w:t>’</w:t>
      </w:r>
      <w:r w:rsidRPr="003F3E91">
        <w:t xml:space="preserve"> tax treatment as a mechanism to encourage portfolio investment. While a non-revenue policy objective suggests that PIEs could be categorised as a tax expenditure, PIEs are excluded from the tax expenditure definition used in this document as PIEs are available to all taxpayers. A benchmark tax system would allow the Treasury to categorise structural features of the tax system such as PIEs, trusts, or progressive personal tax rates. A benchmark tax structure is useful where no clear exemption exists as it would define what constitutes the </w:t>
      </w:r>
      <w:r>
        <w:t>‘</w:t>
      </w:r>
      <w:r w:rsidRPr="003F3E91">
        <w:t>standard</w:t>
      </w:r>
      <w:r>
        <w:t>’</w:t>
      </w:r>
      <w:r w:rsidRPr="003F3E91">
        <w:t xml:space="preserve"> tax </w:t>
      </w:r>
      <w:r w:rsidRPr="007D139A">
        <w:t xml:space="preserve">treatment. For instance, is the </w:t>
      </w:r>
      <w:r>
        <w:t>‘</w:t>
      </w:r>
      <w:r w:rsidRPr="007D139A">
        <w:t>standard rate</w:t>
      </w:r>
      <w:r>
        <w:t>’</w:t>
      </w:r>
      <w:r w:rsidRPr="007D139A">
        <w:t xml:space="preserve"> the company rate, PIE rate, trust rate, or one of the personal tax rates?</w:t>
      </w:r>
      <w:r w:rsidRPr="00255A36">
        <w:t xml:space="preserve"> </w:t>
      </w:r>
    </w:p>
  </w:footnote>
  <w:footnote w:id="2">
    <w:p w14:paraId="5D17C5CA" w14:textId="77777777" w:rsidR="0088541B" w:rsidRPr="003F3E91" w:rsidRDefault="0088541B" w:rsidP="00F67768">
      <w:pPr>
        <w:pStyle w:val="FootnoteText1"/>
        <w:spacing w:after="0"/>
        <w:jc w:val="left"/>
      </w:pPr>
      <w:r w:rsidRPr="007D139A">
        <w:footnoteRef/>
      </w:r>
      <w:r w:rsidRPr="007D139A">
        <w:t xml:space="preserve"> </w:t>
      </w:r>
      <w:r w:rsidRPr="00255A36">
        <w:tab/>
      </w:r>
      <w:r w:rsidRPr="003F3E91">
        <w:t>The stated purpose of the Income Tax Act 2007 is to “define, and impose tax on, net income”. Tax expenditures are not motivated by a desire to raise revenue in the most</w:t>
      </w:r>
      <w:r w:rsidRPr="00DE6C4E">
        <w:t xml:space="preserve"> </w:t>
      </w:r>
      <w:r w:rsidRPr="003F3E91">
        <w:t>efficient manner possible, but instead are significantly motivated by non-revenue policy objectives.</w:t>
      </w:r>
    </w:p>
  </w:footnote>
  <w:footnote w:id="3">
    <w:p w14:paraId="0245CBEC" w14:textId="40348680" w:rsidR="0088541B" w:rsidRDefault="0088541B" w:rsidP="00861690">
      <w:pPr>
        <w:pStyle w:val="FootnoteText1"/>
        <w:tabs>
          <w:tab w:val="left" w:pos="284"/>
        </w:tabs>
        <w:spacing w:after="0"/>
      </w:pPr>
      <w:r>
        <w:t xml:space="preserve">3 </w:t>
      </w:r>
      <w:r>
        <w:tab/>
      </w:r>
      <w:hyperlink r:id="rId1" w:history="1">
        <w:r w:rsidRPr="00643124">
          <w:rPr>
            <w:color w:val="0083AC"/>
          </w:rPr>
          <w:t>http://www.internationalbudget.org/budget-work-by-country/findgroup/group-data/?country=nz</w:t>
        </w:r>
      </w:hyperlink>
      <w:r w:rsidRPr="007D139A">
        <w:t xml:space="preserve">; </w:t>
      </w:r>
      <w:r w:rsidRPr="00643124">
        <w:rPr>
          <w:color w:val="0083AC"/>
        </w:rPr>
        <w:t>http://www.transparency.org.nz/2013/http:/transparency/2013/Integrity-Plus-2013-New-Zealand-National-Integrity-System-Assessment</w:t>
      </w:r>
    </w:p>
  </w:footnote>
  <w:footnote w:id="4">
    <w:p w14:paraId="65D781D6" w14:textId="3A18A435" w:rsidR="0088541B" w:rsidRDefault="0088541B" w:rsidP="00F67768">
      <w:pPr>
        <w:pStyle w:val="FootnoteText"/>
        <w:ind w:left="284" w:hanging="284"/>
        <w:jc w:val="left"/>
      </w:pPr>
      <w:r>
        <w:rPr>
          <w:rStyle w:val="FootnoteReference"/>
        </w:rPr>
        <w:footnoteRef/>
      </w:r>
      <w:r>
        <w:t xml:space="preserve"> </w:t>
      </w:r>
      <w:r>
        <w:tab/>
        <w:t>Note this expenditure was repealed from 29 March 2018 under the Taxation (Annual Rates for 2017-18, Employment and Investment Income, and Remedial Matters) Act 2018. It is recorded in this year’s Statement for completeness.</w:t>
      </w:r>
    </w:p>
  </w:footnote>
  <w:footnote w:id="5">
    <w:p w14:paraId="00799F52" w14:textId="6BC286C3" w:rsidR="0088541B" w:rsidRDefault="0088541B" w:rsidP="008C1748">
      <w:pPr>
        <w:pStyle w:val="FootnoteText"/>
        <w:ind w:left="284" w:hanging="284"/>
      </w:pPr>
      <w:r>
        <w:rPr>
          <w:rStyle w:val="FootnoteReference"/>
        </w:rPr>
        <w:footnoteRef/>
      </w:r>
      <w:r>
        <w:t xml:space="preserve"> </w:t>
      </w:r>
      <w:r>
        <w:tab/>
        <w:t>Note this credit will be available from 1 July 2018. It has been included in this year’s Statement for completeness.</w:t>
      </w:r>
    </w:p>
  </w:footnote>
  <w:footnote w:id="6">
    <w:p w14:paraId="33720BB8" w14:textId="4B94F689" w:rsidR="0088541B" w:rsidRPr="00861690" w:rsidRDefault="0088541B" w:rsidP="00643124">
      <w:pPr>
        <w:spacing w:before="0" w:after="0" w:line="240" w:lineRule="auto"/>
        <w:ind w:left="284" w:hanging="284"/>
        <w:jc w:val="left"/>
        <w:rPr>
          <w:rFonts w:cs="Arial"/>
          <w:sz w:val="18"/>
          <w:szCs w:val="18"/>
        </w:rPr>
      </w:pPr>
      <w:r w:rsidRPr="00947DE6">
        <w:rPr>
          <w:rFonts w:cs="Arial"/>
          <w:sz w:val="18"/>
          <w:szCs w:val="18"/>
        </w:rPr>
        <w:footnoteRef/>
      </w:r>
      <w:r w:rsidRPr="00947DE6">
        <w:rPr>
          <w:rFonts w:cs="Arial"/>
          <w:sz w:val="18"/>
          <w:szCs w:val="18"/>
        </w:rPr>
        <w:t xml:space="preserve"> </w:t>
      </w:r>
      <w:r>
        <w:rPr>
          <w:rFonts w:cs="Arial"/>
          <w:sz w:val="18"/>
          <w:szCs w:val="18"/>
        </w:rPr>
        <w:tab/>
        <w:t>T</w:t>
      </w:r>
      <w:r w:rsidRPr="00947DE6">
        <w:rPr>
          <w:rFonts w:cs="Arial"/>
          <w:sz w:val="18"/>
          <w:szCs w:val="18"/>
        </w:rPr>
        <w:t>he final PAYE returns for smaller employers (those who deduct less than $500,000 PAYE and ESCT per year) relating to the 2017/18 tax year are due on 20 April.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6102B" w14:textId="77777777" w:rsidR="0088541B" w:rsidRPr="00EB1B21" w:rsidRDefault="0088541B" w:rsidP="000676D8">
    <w:pPr>
      <w:tabs>
        <w:tab w:val="center" w:pos="4253"/>
      </w:tabs>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9248D" w14:textId="77777777" w:rsidR="0088541B" w:rsidRDefault="0088541B" w:rsidP="000676D8">
    <w:pPr>
      <w:jc w:val="right"/>
    </w:pPr>
  </w:p>
  <w:p w14:paraId="382BEB2C" w14:textId="77777777" w:rsidR="0088541B" w:rsidRDefault="0088541B" w:rsidP="000676D8">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91103" w14:textId="77777777" w:rsidR="0088541B" w:rsidRPr="00EB1B21" w:rsidRDefault="0088541B" w:rsidP="000676D8">
    <w:pPr>
      <w:tabs>
        <w:tab w:val="center" w:pos="4253"/>
      </w:tabs>
      <w:rPr>
        <w: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3C455" w14:textId="77777777" w:rsidR="0088541B" w:rsidRDefault="0088541B" w:rsidP="000676D8">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E751" w14:textId="77777777" w:rsidR="0088541B" w:rsidRDefault="0088541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08F7" w14:textId="77777777" w:rsidR="0088541B" w:rsidRPr="002D6558" w:rsidRDefault="0088541B" w:rsidP="000676D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AB6A" w14:textId="77777777" w:rsidR="0088541B" w:rsidRDefault="0088541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404A2" w14:textId="77777777" w:rsidR="0088541B" w:rsidRPr="00EB1B21" w:rsidRDefault="0088541B" w:rsidP="000676D8">
    <w:pPr>
      <w:tabs>
        <w:tab w:val="center" w:pos="4253"/>
      </w:tabs>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C0EE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8458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4082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0ACF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267A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20D8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2A4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526D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1409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CA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83C32"/>
    <w:multiLevelType w:val="hybridMultilevel"/>
    <w:tmpl w:val="10D63B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0C8452AE"/>
    <w:multiLevelType w:val="hybridMultilevel"/>
    <w:tmpl w:val="5840050E"/>
    <w:lvl w:ilvl="0" w:tplc="37BA45CC">
      <w:start w:val="1"/>
      <w:numFmt w:val="decimal"/>
      <w:lvlText w:val="%1."/>
      <w:lvlJc w:val="left"/>
      <w:pPr>
        <w:ind w:left="984" w:hanging="360"/>
      </w:pPr>
      <w:rPr>
        <w:rFonts w:ascii="Calibri" w:hAnsi="Calibri" w:hint="default"/>
        <w:sz w:val="24"/>
        <w:szCs w:val="24"/>
      </w:rPr>
    </w:lvl>
    <w:lvl w:ilvl="1" w:tplc="14090019" w:tentative="1">
      <w:start w:val="1"/>
      <w:numFmt w:val="lowerLetter"/>
      <w:lvlText w:val="%2."/>
      <w:lvlJc w:val="left"/>
      <w:pPr>
        <w:ind w:left="1704" w:hanging="360"/>
      </w:pPr>
    </w:lvl>
    <w:lvl w:ilvl="2" w:tplc="1409001B" w:tentative="1">
      <w:start w:val="1"/>
      <w:numFmt w:val="lowerRoman"/>
      <w:lvlText w:val="%3."/>
      <w:lvlJc w:val="right"/>
      <w:pPr>
        <w:ind w:left="2424" w:hanging="180"/>
      </w:pPr>
    </w:lvl>
    <w:lvl w:ilvl="3" w:tplc="1409000F" w:tentative="1">
      <w:start w:val="1"/>
      <w:numFmt w:val="decimal"/>
      <w:lvlText w:val="%4."/>
      <w:lvlJc w:val="left"/>
      <w:pPr>
        <w:ind w:left="3144" w:hanging="360"/>
      </w:pPr>
    </w:lvl>
    <w:lvl w:ilvl="4" w:tplc="14090019" w:tentative="1">
      <w:start w:val="1"/>
      <w:numFmt w:val="lowerLetter"/>
      <w:lvlText w:val="%5."/>
      <w:lvlJc w:val="left"/>
      <w:pPr>
        <w:ind w:left="3864" w:hanging="360"/>
      </w:pPr>
    </w:lvl>
    <w:lvl w:ilvl="5" w:tplc="1409001B" w:tentative="1">
      <w:start w:val="1"/>
      <w:numFmt w:val="lowerRoman"/>
      <w:lvlText w:val="%6."/>
      <w:lvlJc w:val="right"/>
      <w:pPr>
        <w:ind w:left="4584" w:hanging="180"/>
      </w:pPr>
    </w:lvl>
    <w:lvl w:ilvl="6" w:tplc="1409000F" w:tentative="1">
      <w:start w:val="1"/>
      <w:numFmt w:val="decimal"/>
      <w:lvlText w:val="%7."/>
      <w:lvlJc w:val="left"/>
      <w:pPr>
        <w:ind w:left="5304" w:hanging="360"/>
      </w:pPr>
    </w:lvl>
    <w:lvl w:ilvl="7" w:tplc="14090019" w:tentative="1">
      <w:start w:val="1"/>
      <w:numFmt w:val="lowerLetter"/>
      <w:lvlText w:val="%8."/>
      <w:lvlJc w:val="left"/>
      <w:pPr>
        <w:ind w:left="6024" w:hanging="360"/>
      </w:pPr>
    </w:lvl>
    <w:lvl w:ilvl="8" w:tplc="1409001B" w:tentative="1">
      <w:start w:val="1"/>
      <w:numFmt w:val="lowerRoman"/>
      <w:lvlText w:val="%9."/>
      <w:lvlJc w:val="right"/>
      <w:pPr>
        <w:ind w:left="6744" w:hanging="180"/>
      </w:pPr>
    </w:lvl>
  </w:abstractNum>
  <w:abstractNum w:abstractNumId="12" w15:restartNumberingAfterBreak="0">
    <w:nsid w:val="0DF827F3"/>
    <w:multiLevelType w:val="hybridMultilevel"/>
    <w:tmpl w:val="8E0851F0"/>
    <w:lvl w:ilvl="0" w:tplc="96F47B9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0F486657"/>
    <w:multiLevelType w:val="hybridMultilevel"/>
    <w:tmpl w:val="1C9008FC"/>
    <w:lvl w:ilvl="0" w:tplc="01125414">
      <w:start w:val="20"/>
      <w:numFmt w:val="bullet"/>
      <w:lvlText w:val="-"/>
      <w:lvlJc w:val="left"/>
      <w:pPr>
        <w:ind w:left="720" w:hanging="360"/>
      </w:pPr>
      <w:rPr>
        <w:rFonts w:ascii="Arial" w:eastAsia="Times New Roman" w:hAnsi="Arial" w:cs="Arial" w:hint="default"/>
        <w: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0FC822A0"/>
    <w:multiLevelType w:val="hybridMultilevel"/>
    <w:tmpl w:val="0FB01794"/>
    <w:lvl w:ilvl="0" w:tplc="1409000F">
      <w:start w:val="1"/>
      <w:numFmt w:val="decimal"/>
      <w:lvlText w:val="%1."/>
      <w:lvlJc w:val="left"/>
      <w:pPr>
        <w:ind w:left="984" w:hanging="360"/>
      </w:pPr>
    </w:lvl>
    <w:lvl w:ilvl="1" w:tplc="14090019" w:tentative="1">
      <w:start w:val="1"/>
      <w:numFmt w:val="lowerLetter"/>
      <w:lvlText w:val="%2."/>
      <w:lvlJc w:val="left"/>
      <w:pPr>
        <w:ind w:left="1704" w:hanging="360"/>
      </w:pPr>
    </w:lvl>
    <w:lvl w:ilvl="2" w:tplc="1409001B" w:tentative="1">
      <w:start w:val="1"/>
      <w:numFmt w:val="lowerRoman"/>
      <w:lvlText w:val="%3."/>
      <w:lvlJc w:val="right"/>
      <w:pPr>
        <w:ind w:left="2424" w:hanging="180"/>
      </w:pPr>
    </w:lvl>
    <w:lvl w:ilvl="3" w:tplc="1409000F" w:tentative="1">
      <w:start w:val="1"/>
      <w:numFmt w:val="decimal"/>
      <w:lvlText w:val="%4."/>
      <w:lvlJc w:val="left"/>
      <w:pPr>
        <w:ind w:left="3144" w:hanging="360"/>
      </w:pPr>
    </w:lvl>
    <w:lvl w:ilvl="4" w:tplc="14090019" w:tentative="1">
      <w:start w:val="1"/>
      <w:numFmt w:val="lowerLetter"/>
      <w:lvlText w:val="%5."/>
      <w:lvlJc w:val="left"/>
      <w:pPr>
        <w:ind w:left="3864" w:hanging="360"/>
      </w:pPr>
    </w:lvl>
    <w:lvl w:ilvl="5" w:tplc="1409001B" w:tentative="1">
      <w:start w:val="1"/>
      <w:numFmt w:val="lowerRoman"/>
      <w:lvlText w:val="%6."/>
      <w:lvlJc w:val="right"/>
      <w:pPr>
        <w:ind w:left="4584" w:hanging="180"/>
      </w:pPr>
    </w:lvl>
    <w:lvl w:ilvl="6" w:tplc="1409000F" w:tentative="1">
      <w:start w:val="1"/>
      <w:numFmt w:val="decimal"/>
      <w:lvlText w:val="%7."/>
      <w:lvlJc w:val="left"/>
      <w:pPr>
        <w:ind w:left="5304" w:hanging="360"/>
      </w:pPr>
    </w:lvl>
    <w:lvl w:ilvl="7" w:tplc="14090019" w:tentative="1">
      <w:start w:val="1"/>
      <w:numFmt w:val="lowerLetter"/>
      <w:lvlText w:val="%8."/>
      <w:lvlJc w:val="left"/>
      <w:pPr>
        <w:ind w:left="6024" w:hanging="360"/>
      </w:pPr>
    </w:lvl>
    <w:lvl w:ilvl="8" w:tplc="1409001B" w:tentative="1">
      <w:start w:val="1"/>
      <w:numFmt w:val="lowerRoman"/>
      <w:lvlText w:val="%9."/>
      <w:lvlJc w:val="right"/>
      <w:pPr>
        <w:ind w:left="6744" w:hanging="180"/>
      </w:pPr>
    </w:lvl>
  </w:abstractNum>
  <w:abstractNum w:abstractNumId="15" w15:restartNumberingAfterBreak="0">
    <w:nsid w:val="139201C3"/>
    <w:multiLevelType w:val="multilevel"/>
    <w:tmpl w:val="9162F4D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851"/>
        </w:tabs>
        <w:ind w:left="851" w:hanging="284"/>
      </w:pPr>
      <w:rPr>
        <w:rFonts w:hint="default"/>
      </w:rPr>
    </w:lvl>
    <w:lvl w:ilvl="2">
      <w:start w:val="1"/>
      <w:numFmt w:val="lowerRoman"/>
      <w:lvlText w:val="%3"/>
      <w:lvlJc w:val="left"/>
      <w:pPr>
        <w:tabs>
          <w:tab w:val="num" w:pos="1418"/>
        </w:tabs>
        <w:ind w:left="1418" w:hanging="284"/>
      </w:pPr>
      <w:rPr>
        <w:rFonts w:hint="default"/>
      </w:rPr>
    </w:lvl>
    <w:lvl w:ilvl="3">
      <w:start w:val="1"/>
      <w:numFmt w:val="none"/>
      <w:lvlText w:val="-"/>
      <w:lvlJc w:val="left"/>
      <w:pPr>
        <w:tabs>
          <w:tab w:val="num" w:pos="1985"/>
        </w:tabs>
        <w:ind w:left="1985" w:hanging="28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6C827D6"/>
    <w:multiLevelType w:val="hybridMultilevel"/>
    <w:tmpl w:val="3F68F788"/>
    <w:lvl w:ilvl="0" w:tplc="1A14D01C">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21F2762A"/>
    <w:multiLevelType w:val="hybridMultilevel"/>
    <w:tmpl w:val="114AA33C"/>
    <w:lvl w:ilvl="0" w:tplc="1506E38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26F711A1"/>
    <w:multiLevelType w:val="hybridMultilevel"/>
    <w:tmpl w:val="1FC08DCE"/>
    <w:lvl w:ilvl="0" w:tplc="1506E38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28EB075B"/>
    <w:multiLevelType w:val="hybridMultilevel"/>
    <w:tmpl w:val="5E94CC4E"/>
    <w:lvl w:ilvl="0" w:tplc="4148B8AE">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BF0430F"/>
    <w:multiLevelType w:val="hybridMultilevel"/>
    <w:tmpl w:val="F14E0218"/>
    <w:lvl w:ilvl="0" w:tplc="E080539C">
      <w:numFmt w:val="bullet"/>
      <w:lvlText w:val="-"/>
      <w:lvlJc w:val="left"/>
      <w:pPr>
        <w:ind w:left="720" w:hanging="360"/>
      </w:pPr>
      <w:rPr>
        <w:rFonts w:ascii="Arial" w:eastAsia="Times New Roman" w:hAnsi="Arial" w:cs="Arial" w:hint="default"/>
        <w: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FE47C10"/>
    <w:multiLevelType w:val="hybridMultilevel"/>
    <w:tmpl w:val="DDB625A8"/>
    <w:lvl w:ilvl="0" w:tplc="14090011">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2" w15:restartNumberingAfterBreak="0">
    <w:nsid w:val="38096361"/>
    <w:multiLevelType w:val="hybridMultilevel"/>
    <w:tmpl w:val="85F45356"/>
    <w:lvl w:ilvl="0" w:tplc="1506E38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39E12EB2"/>
    <w:multiLevelType w:val="hybridMultilevel"/>
    <w:tmpl w:val="61A6B5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1E81688"/>
    <w:multiLevelType w:val="hybridMultilevel"/>
    <w:tmpl w:val="9E4E80FA"/>
    <w:lvl w:ilvl="0" w:tplc="1C90181E">
      <w:numFmt w:val="bullet"/>
      <w:lvlText w:val="-"/>
      <w:lvlJc w:val="left"/>
      <w:pPr>
        <w:ind w:left="720" w:hanging="360"/>
      </w:pPr>
      <w:rPr>
        <w:rFonts w:ascii="Arial" w:eastAsia="Times New Roman" w:hAnsi="Arial" w:cs="Arial" w:hint="default"/>
        <w: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3C91325"/>
    <w:multiLevelType w:val="hybridMultilevel"/>
    <w:tmpl w:val="F4646C36"/>
    <w:lvl w:ilvl="0" w:tplc="14090011">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6" w15:restartNumberingAfterBreak="0">
    <w:nsid w:val="5DB536CD"/>
    <w:multiLevelType w:val="hybridMultilevel"/>
    <w:tmpl w:val="6BD64D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3AA47A7"/>
    <w:multiLevelType w:val="hybridMultilevel"/>
    <w:tmpl w:val="321A6B86"/>
    <w:lvl w:ilvl="0" w:tplc="1506E38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6680082"/>
    <w:multiLevelType w:val="hybridMultilevel"/>
    <w:tmpl w:val="384AB9AC"/>
    <w:lvl w:ilvl="0" w:tplc="B38A25F2">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C9D00A0"/>
    <w:multiLevelType w:val="hybridMultilevel"/>
    <w:tmpl w:val="2EF6E6E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1"/>
  </w:num>
  <w:num w:numId="15">
    <w:abstractNumId w:val="29"/>
  </w:num>
  <w:num w:numId="16">
    <w:abstractNumId w:val="18"/>
  </w:num>
  <w:num w:numId="17">
    <w:abstractNumId w:val="17"/>
  </w:num>
  <w:num w:numId="18">
    <w:abstractNumId w:val="22"/>
  </w:num>
  <w:num w:numId="19">
    <w:abstractNumId w:val="27"/>
  </w:num>
  <w:num w:numId="20">
    <w:abstractNumId w:val="2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1"/>
  </w:num>
  <w:num w:numId="25">
    <w:abstractNumId w:val="10"/>
  </w:num>
  <w:num w:numId="26">
    <w:abstractNumId w:val="15"/>
  </w:num>
  <w:num w:numId="27">
    <w:abstractNumId w:val="24"/>
  </w:num>
  <w:num w:numId="28">
    <w:abstractNumId w:val="20"/>
  </w:num>
  <w:num w:numId="29">
    <w:abstractNumId w:val="19"/>
  </w:num>
  <w:num w:numId="30">
    <w:abstractNumId w:val="1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AC"/>
    <w:rsid w:val="000676D8"/>
    <w:rsid w:val="00070377"/>
    <w:rsid w:val="00075688"/>
    <w:rsid w:val="000B26ED"/>
    <w:rsid w:val="000C31BA"/>
    <w:rsid w:val="000C5F94"/>
    <w:rsid w:val="000D7B79"/>
    <w:rsid w:val="00104EE9"/>
    <w:rsid w:val="00123038"/>
    <w:rsid w:val="00126FAF"/>
    <w:rsid w:val="00144EC4"/>
    <w:rsid w:val="001E22F7"/>
    <w:rsid w:val="0020462B"/>
    <w:rsid w:val="00222DB5"/>
    <w:rsid w:val="002323CD"/>
    <w:rsid w:val="00253DAB"/>
    <w:rsid w:val="0028003D"/>
    <w:rsid w:val="002928F4"/>
    <w:rsid w:val="002B7205"/>
    <w:rsid w:val="002E077D"/>
    <w:rsid w:val="00315AC0"/>
    <w:rsid w:val="003324A1"/>
    <w:rsid w:val="00334DFD"/>
    <w:rsid w:val="003625AE"/>
    <w:rsid w:val="003759C3"/>
    <w:rsid w:val="003B62B0"/>
    <w:rsid w:val="0047302B"/>
    <w:rsid w:val="004A7D7F"/>
    <w:rsid w:val="005270BB"/>
    <w:rsid w:val="005F79E0"/>
    <w:rsid w:val="00643124"/>
    <w:rsid w:val="006C1D9F"/>
    <w:rsid w:val="00781F76"/>
    <w:rsid w:val="007B20F9"/>
    <w:rsid w:val="007F5C07"/>
    <w:rsid w:val="00845FE9"/>
    <w:rsid w:val="00861690"/>
    <w:rsid w:val="0088541B"/>
    <w:rsid w:val="008B2D44"/>
    <w:rsid w:val="008C1748"/>
    <w:rsid w:val="008E4DD6"/>
    <w:rsid w:val="00947DE6"/>
    <w:rsid w:val="00A0793B"/>
    <w:rsid w:val="00A21E06"/>
    <w:rsid w:val="00B50A57"/>
    <w:rsid w:val="00B5524F"/>
    <w:rsid w:val="00BB0CAC"/>
    <w:rsid w:val="00CA064F"/>
    <w:rsid w:val="00D46959"/>
    <w:rsid w:val="00D66F4C"/>
    <w:rsid w:val="00D801C0"/>
    <w:rsid w:val="00DC59F2"/>
    <w:rsid w:val="00DC5CC9"/>
    <w:rsid w:val="00E773DC"/>
    <w:rsid w:val="00F30619"/>
    <w:rsid w:val="00F514F6"/>
    <w:rsid w:val="00F67768"/>
    <w:rsid w:val="00FA08DF"/>
    <w:rsid w:val="00FA14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5FC6BE"/>
  <w15:chartTrackingRefBased/>
  <w15:docId w15:val="{B5C415FA-9191-4B0F-87A9-B8D0E751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CAC"/>
    <w:pPr>
      <w:spacing w:before="200" w:after="200" w:line="280" w:lineRule="atLeast"/>
      <w:jc w:val="both"/>
    </w:pPr>
    <w:rPr>
      <w:rFonts w:ascii="Arial" w:eastAsia="Times New Roman" w:hAnsi="Arial" w:cs="Times New Roman"/>
      <w:szCs w:val="20"/>
    </w:rPr>
  </w:style>
  <w:style w:type="paragraph" w:styleId="Heading1">
    <w:name w:val="heading 1"/>
    <w:basedOn w:val="Normal"/>
    <w:next w:val="Normal"/>
    <w:link w:val="Heading1Char"/>
    <w:qFormat/>
    <w:rsid w:val="002323CD"/>
    <w:pPr>
      <w:keepNext/>
      <w:tabs>
        <w:tab w:val="left" w:pos="851"/>
      </w:tabs>
      <w:spacing w:before="240" w:after="240"/>
      <w:jc w:val="left"/>
      <w:outlineLvl w:val="0"/>
    </w:pPr>
    <w:rPr>
      <w:rFonts w:cs="Arial"/>
      <w:b/>
      <w:bCs/>
      <w:color w:val="0083AC"/>
      <w:sz w:val="40"/>
      <w:szCs w:val="40"/>
      <w:lang w:val="en-AU"/>
    </w:rPr>
  </w:style>
  <w:style w:type="paragraph" w:styleId="Heading2">
    <w:name w:val="heading 2"/>
    <w:basedOn w:val="Heading1"/>
    <w:next w:val="Normal"/>
    <w:link w:val="Heading2Char"/>
    <w:qFormat/>
    <w:rsid w:val="00BB0CAC"/>
    <w:pPr>
      <w:outlineLvl w:val="1"/>
    </w:pPr>
    <w:rPr>
      <w:sz w:val="32"/>
      <w:szCs w:val="32"/>
    </w:rPr>
  </w:style>
  <w:style w:type="paragraph" w:styleId="Heading3">
    <w:name w:val="heading 3"/>
    <w:basedOn w:val="Heading2"/>
    <w:next w:val="Normal"/>
    <w:link w:val="Heading3Char"/>
    <w:qFormat/>
    <w:rsid w:val="002323CD"/>
    <w:pPr>
      <w:spacing w:before="0" w:line="220" w:lineRule="atLeast"/>
      <w:outlineLvl w:val="2"/>
    </w:pPr>
    <w:rPr>
      <w:sz w:val="22"/>
    </w:rPr>
  </w:style>
  <w:style w:type="paragraph" w:styleId="Heading4">
    <w:name w:val="heading 4"/>
    <w:basedOn w:val="Normal"/>
    <w:next w:val="Normal"/>
    <w:link w:val="Heading4Char"/>
    <w:qFormat/>
    <w:rsid w:val="00BB0CAC"/>
    <w:pPr>
      <w:keepNext/>
      <w:spacing w:after="240"/>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23CD"/>
    <w:rPr>
      <w:rFonts w:ascii="Arial" w:eastAsia="Times New Roman" w:hAnsi="Arial" w:cs="Arial"/>
      <w:b/>
      <w:bCs/>
      <w:color w:val="0083AC"/>
      <w:sz w:val="40"/>
      <w:szCs w:val="40"/>
      <w:lang w:val="en-AU"/>
    </w:rPr>
  </w:style>
  <w:style w:type="character" w:customStyle="1" w:styleId="Heading2Char">
    <w:name w:val="Heading 2 Char"/>
    <w:basedOn w:val="DefaultParagraphFont"/>
    <w:link w:val="Heading2"/>
    <w:rsid w:val="00BB0CAC"/>
    <w:rPr>
      <w:rFonts w:ascii="Arial" w:eastAsia="Times New Roman" w:hAnsi="Arial" w:cs="Arial"/>
      <w:b/>
      <w:bCs/>
      <w:color w:val="0055A0"/>
      <w:sz w:val="32"/>
      <w:szCs w:val="32"/>
      <w:lang w:val="en-AU"/>
    </w:rPr>
  </w:style>
  <w:style w:type="character" w:customStyle="1" w:styleId="Heading3Char">
    <w:name w:val="Heading 3 Char"/>
    <w:basedOn w:val="DefaultParagraphFont"/>
    <w:link w:val="Heading3"/>
    <w:rsid w:val="002323CD"/>
    <w:rPr>
      <w:rFonts w:ascii="Arial" w:eastAsia="Times New Roman" w:hAnsi="Arial" w:cs="Arial"/>
      <w:b/>
      <w:bCs/>
      <w:color w:val="0083AC"/>
      <w:szCs w:val="32"/>
      <w:lang w:val="en-AU"/>
    </w:rPr>
  </w:style>
  <w:style w:type="character" w:customStyle="1" w:styleId="Heading4Char">
    <w:name w:val="Heading 4 Char"/>
    <w:basedOn w:val="DefaultParagraphFont"/>
    <w:link w:val="Heading4"/>
    <w:rsid w:val="00BB0CAC"/>
    <w:rPr>
      <w:rFonts w:ascii="Arial" w:eastAsia="Times New Roman" w:hAnsi="Arial" w:cs="Times New Roman"/>
      <w:i/>
      <w:szCs w:val="20"/>
    </w:rPr>
  </w:style>
  <w:style w:type="character" w:styleId="Emphasis">
    <w:name w:val="Emphasis"/>
    <w:basedOn w:val="DefaultParagraphFont"/>
    <w:qFormat/>
    <w:rsid w:val="00BB0CAC"/>
    <w:rPr>
      <w:i/>
      <w:iCs/>
    </w:rPr>
  </w:style>
  <w:style w:type="paragraph" w:customStyle="1" w:styleId="TableText">
    <w:name w:val="Table Text"/>
    <w:basedOn w:val="Normal"/>
    <w:qFormat/>
    <w:rsid w:val="00BB0CAC"/>
    <w:pPr>
      <w:spacing w:before="60" w:after="60" w:line="276" w:lineRule="auto"/>
      <w:jc w:val="left"/>
    </w:pPr>
    <w:rPr>
      <w:sz w:val="16"/>
      <w:szCs w:val="18"/>
    </w:rPr>
  </w:style>
  <w:style w:type="character" w:styleId="Strong">
    <w:name w:val="Strong"/>
    <w:basedOn w:val="DefaultParagraphFont"/>
    <w:uiPriority w:val="22"/>
    <w:rsid w:val="00BB0CAC"/>
    <w:rPr>
      <w:b/>
      <w:bCs/>
    </w:rPr>
  </w:style>
  <w:style w:type="paragraph" w:customStyle="1" w:styleId="TableHeading">
    <w:name w:val="Table Heading"/>
    <w:basedOn w:val="TableText"/>
    <w:qFormat/>
    <w:rsid w:val="002323CD"/>
    <w:pPr>
      <w:spacing w:line="200" w:lineRule="atLeast"/>
    </w:pPr>
    <w:rPr>
      <w:b/>
      <w:color w:val="0083AC"/>
      <w:lang w:val="en-AU"/>
    </w:rPr>
  </w:style>
  <w:style w:type="paragraph" w:customStyle="1" w:styleId="Spacer">
    <w:name w:val="Spacer"/>
    <w:basedOn w:val="Normal"/>
    <w:qFormat/>
    <w:rsid w:val="00BB0CAC"/>
    <w:pPr>
      <w:spacing w:before="0" w:after="0" w:line="240" w:lineRule="auto"/>
    </w:pPr>
    <w:rPr>
      <w:sz w:val="8"/>
    </w:rPr>
  </w:style>
  <w:style w:type="paragraph" w:customStyle="1" w:styleId="FootnoteText1">
    <w:name w:val="Footnote Text1"/>
    <w:basedOn w:val="Normal"/>
    <w:qFormat/>
    <w:rsid w:val="00BB0CAC"/>
    <w:pPr>
      <w:spacing w:before="0" w:after="120" w:line="240" w:lineRule="auto"/>
      <w:ind w:left="284" w:hanging="284"/>
    </w:pPr>
    <w:rPr>
      <w:rFonts w:cs="Arial"/>
      <w:sz w:val="18"/>
      <w:szCs w:val="18"/>
    </w:rPr>
  </w:style>
  <w:style w:type="paragraph" w:styleId="Header">
    <w:name w:val="header"/>
    <w:basedOn w:val="Normal"/>
    <w:link w:val="HeaderChar"/>
    <w:unhideWhenUsed/>
    <w:rsid w:val="00BB0CAC"/>
    <w:pPr>
      <w:tabs>
        <w:tab w:val="center" w:pos="4513"/>
        <w:tab w:val="right" w:pos="9026"/>
      </w:tabs>
      <w:spacing w:before="0" w:after="0" w:line="240" w:lineRule="auto"/>
    </w:pPr>
  </w:style>
  <w:style w:type="character" w:customStyle="1" w:styleId="HeaderChar">
    <w:name w:val="Header Char"/>
    <w:basedOn w:val="DefaultParagraphFont"/>
    <w:link w:val="Header"/>
    <w:rsid w:val="00BB0CAC"/>
    <w:rPr>
      <w:rFonts w:ascii="Arial" w:eastAsia="Times New Roman" w:hAnsi="Arial" w:cs="Times New Roman"/>
      <w:szCs w:val="20"/>
    </w:rPr>
  </w:style>
  <w:style w:type="paragraph" w:styleId="Footer">
    <w:name w:val="footer"/>
    <w:basedOn w:val="Normal"/>
    <w:link w:val="FooterChar"/>
    <w:unhideWhenUsed/>
    <w:rsid w:val="00BB0CAC"/>
    <w:pPr>
      <w:tabs>
        <w:tab w:val="center" w:pos="4513"/>
        <w:tab w:val="right" w:pos="9026"/>
      </w:tabs>
      <w:spacing w:before="0" w:after="0" w:line="240" w:lineRule="auto"/>
    </w:pPr>
  </w:style>
  <w:style w:type="character" w:customStyle="1" w:styleId="FooterChar">
    <w:name w:val="Footer Char"/>
    <w:basedOn w:val="DefaultParagraphFont"/>
    <w:link w:val="Footer"/>
    <w:rsid w:val="00BB0CAC"/>
    <w:rPr>
      <w:rFonts w:ascii="Arial" w:eastAsia="Times New Roman" w:hAnsi="Arial" w:cs="Times New Roman"/>
      <w:szCs w:val="20"/>
    </w:rPr>
  </w:style>
  <w:style w:type="paragraph" w:styleId="Revision">
    <w:name w:val="Revision"/>
    <w:hidden/>
    <w:uiPriority w:val="99"/>
    <w:semiHidden/>
    <w:rsid w:val="00BB0CAC"/>
    <w:pPr>
      <w:spacing w:after="0" w:line="240" w:lineRule="auto"/>
    </w:pPr>
    <w:rPr>
      <w:rFonts w:ascii="Arial" w:eastAsia="Times New Roman" w:hAnsi="Arial" w:cs="Times New Roman"/>
      <w:szCs w:val="20"/>
    </w:rPr>
  </w:style>
  <w:style w:type="paragraph" w:styleId="BalloonText">
    <w:name w:val="Balloon Text"/>
    <w:basedOn w:val="Normal"/>
    <w:link w:val="BalloonTextChar"/>
    <w:uiPriority w:val="99"/>
    <w:semiHidden/>
    <w:unhideWhenUsed/>
    <w:rsid w:val="00144E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EC4"/>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A7D7F"/>
    <w:rPr>
      <w:sz w:val="16"/>
      <w:szCs w:val="16"/>
    </w:rPr>
  </w:style>
  <w:style w:type="paragraph" w:styleId="CommentText">
    <w:name w:val="annotation text"/>
    <w:basedOn w:val="Normal"/>
    <w:link w:val="CommentTextChar"/>
    <w:uiPriority w:val="99"/>
    <w:semiHidden/>
    <w:unhideWhenUsed/>
    <w:rsid w:val="004A7D7F"/>
    <w:pPr>
      <w:spacing w:line="240" w:lineRule="auto"/>
    </w:pPr>
    <w:rPr>
      <w:sz w:val="20"/>
    </w:rPr>
  </w:style>
  <w:style w:type="character" w:customStyle="1" w:styleId="CommentTextChar">
    <w:name w:val="Comment Text Char"/>
    <w:basedOn w:val="DefaultParagraphFont"/>
    <w:link w:val="CommentText"/>
    <w:uiPriority w:val="99"/>
    <w:semiHidden/>
    <w:rsid w:val="004A7D7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7D7F"/>
    <w:rPr>
      <w:b/>
      <w:bCs/>
    </w:rPr>
  </w:style>
  <w:style w:type="character" w:customStyle="1" w:styleId="CommentSubjectChar">
    <w:name w:val="Comment Subject Char"/>
    <w:basedOn w:val="CommentTextChar"/>
    <w:link w:val="CommentSubject"/>
    <w:uiPriority w:val="99"/>
    <w:semiHidden/>
    <w:rsid w:val="004A7D7F"/>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3B62B0"/>
    <w:pPr>
      <w:spacing w:before="0" w:after="0" w:line="240" w:lineRule="auto"/>
    </w:pPr>
    <w:rPr>
      <w:sz w:val="20"/>
    </w:rPr>
  </w:style>
  <w:style w:type="character" w:customStyle="1" w:styleId="FootnoteTextChar">
    <w:name w:val="Footnote Text Char"/>
    <w:basedOn w:val="DefaultParagraphFont"/>
    <w:link w:val="FootnoteText"/>
    <w:uiPriority w:val="99"/>
    <w:semiHidden/>
    <w:rsid w:val="003B62B0"/>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B62B0"/>
    <w:rPr>
      <w:vertAlign w:val="superscript"/>
    </w:rPr>
  </w:style>
  <w:style w:type="paragraph" w:customStyle="1" w:styleId="TSYList">
    <w:name w:val="TSY List"/>
    <w:basedOn w:val="Normal"/>
    <w:qFormat/>
    <w:rsid w:val="006C1D9F"/>
    <w:pPr>
      <w:tabs>
        <w:tab w:val="num" w:pos="567"/>
      </w:tabs>
      <w:spacing w:before="100" w:after="100" w:line="240" w:lineRule="auto"/>
      <w:ind w:left="567" w:hanging="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90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egislation.govt.nz/act/public/2017/0051/latest/DLM7512314.html"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nternationalbudget.org/budget-work-by-country/findgroup/group-data/?country=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327C0-7AD5-416D-BA92-18CE5239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4780</Words>
  <Characters>27252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2018 Tax Expenditure Statement - Budget 2018 - 17 May 2018</vt:lpstr>
    </vt:vector>
  </TitlesOfParts>
  <Company/>
  <LinksUpToDate>false</LinksUpToDate>
  <CharactersWithSpaces>31969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Tax Expenditure Statement - Budget 2018 - 17 May 2018</dc:title>
  <dc:subject/>
  <dc:creator>New Zealand Treasury</dc:creator>
  <cp:keywords/>
  <dc:description/>
  <cp:lastModifiedBy>Geraldine Bruin [CASS]</cp:lastModifiedBy>
  <cp:revision>3</cp:revision>
  <dcterms:created xsi:type="dcterms:W3CDTF">2018-05-12T01:12:00Z</dcterms:created>
  <dcterms:modified xsi:type="dcterms:W3CDTF">2018-05-15T21:46:00Z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ySecurityClassification">
    <vt:lpwstr>BUDGET-SENSITIVE</vt:lpwstr>
  </property>
  <property fmtid="{D5CDD505-2E9C-101B-9397-08002B2CF9AE}" pid="3" name="TsyDisplayedSecurityClassification">
    <vt:lpwstr>BUDGET-SENSITIVE</vt:lpwstr>
  </property>
  <property fmtid="{D5CDD505-2E9C-101B-9397-08002B2CF9AE}" pid="4" name="TsySeemailSecurityClassification">
    <vt:lpwstr>[SEEMAIL] [BUDGET-SENSITIVE]</vt:lpwstr>
  </property>
  <property fmtid="{D5CDD505-2E9C-101B-9397-08002B2CF9AE}" pid="5" name="TsyDocNum">
    <vt:i4>3923120</vt:i4>
  </property>
  <property fmtid="{D5CDD505-2E9C-101B-9397-08002B2CF9AE}" pid="6" name="TsyDocVer">
    <vt:i4>2</vt:i4>
  </property>
  <property fmtid="{D5CDD505-2E9C-101B-9397-08002B2CF9AE}" pid="7" name="TsyDisplayedDocNumVer">
    <vt:lpwstr>Treasury:3923120v2</vt:lpwstr>
  </property>
  <property fmtid="{D5CDD505-2E9C-101B-9397-08002B2CF9AE}" pid="8" name="TsyFileNo">
    <vt:lpwstr>DH-8-0</vt:lpwstr>
  </property>
  <property fmtid="{D5CDD505-2E9C-101B-9397-08002B2CF9AE}" pid="9" name="TsyDescription">
    <vt:lpwstr>FINAL 2018 Tax Expenditure Statement</vt:lpwstr>
  </property>
  <property fmtid="{D5CDD505-2E9C-101B-9397-08002B2CF9AE}" pid="10" name="TsyTrNum">
    <vt:lpwstr> </vt:lpwstr>
  </property>
  <property fmtid="{D5CDD505-2E9C-101B-9397-08002B2CF9AE}" pid="11" name="TsyOiaNum">
    <vt:lpwstr> </vt:lpwstr>
  </property>
  <property fmtid="{D5CDD505-2E9C-101B-9397-08002B2CF9AE}" pid="12" name="TsyManagerUsername">
    <vt:lpwstr> </vt:lpwstr>
  </property>
  <property fmtid="{D5CDD505-2E9C-101B-9397-08002B2CF9AE}" pid="13" name="TsyManagerFullname">
    <vt:lpwstr> </vt:lpwstr>
  </property>
  <property fmtid="{D5CDD505-2E9C-101B-9397-08002B2CF9AE}" pid="14" name="TsyAuthorUsername">
    <vt:lpwstr>OVERTONH</vt:lpwstr>
  </property>
  <property fmtid="{D5CDD505-2E9C-101B-9397-08002B2CF9AE}" pid="15" name="TsyAuthorFullname">
    <vt:lpwstr>Hannah Overton</vt:lpwstr>
  </property>
  <property fmtid="{D5CDD505-2E9C-101B-9397-08002B2CF9AE}" pid="16" name="TsyUpdateFooter">
    <vt:bool>true</vt:bool>
  </property>
</Properties>
</file>